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Indication Deep Dive: atrial fibrillation (EU, 2023)</w:t>
      </w:r>
    </w:p>
    <w:p>
      <w:r>
        <w:t>Report date: 2023-03-01 | Prepared by: Priya Venkat</w:t>
      </w:r>
    </w:p>
    <w:p>
      <w:pPr>
        <w:pStyle w:val="Heading1"/>
      </w:pPr>
      <w:r>
        <w:t>Disease Overview</w:t>
      </w:r>
    </w:p>
    <w:p>
      <w:r>
        <w:t>Atrial fibrillation represents 11-40% of cases in its category. Unmet need remains significant in patients who have progressed on first-line therapy, with an estimated overall survival of approximately 31% at 36 months.</w:t>
      </w:r>
    </w:p>
    <w:p>
      <w:r>
        <w:t>Prevalence and incidence vary by region; EU data show stable diagnosis rates since 2021.</w:t>
      </w:r>
    </w:p>
    <w:p>
      <w:pPr>
        <w:pStyle w:val="Heading1"/>
      </w:pPr>
      <w:r>
        <w:t>Standard of Care</w:t>
      </w:r>
    </w:p>
    <w:p>
      <w:r>
        <w:t>Current guidelines recommend combination therapy as first-line treatment. Comorbidity management and biomarker testing influence the treatment choice.</w:t>
      </w:r>
    </w:p>
    <w:p>
      <w:r>
        <w:t>Marketed options include Eliquex.</w:t>
      </w:r>
    </w:p>
    <w:p>
      <w:r>
        <w:t>Supply and logistics are not a concern for Eliquex, though cold-chain handling and nurse-led administration add workload in busy clinics.</w:t>
      </w:r>
    </w:p>
    <w:p>
      <w:r>
        <w:t>Patient advocacy groups are pushing for earlier access, and shared decision-making tools are being piloted to explain benefit, risk and treatment burden.</w:t>
      </w:r>
    </w:p>
    <w:p>
      <w:r>
        <w:t>Guideline committees are expected to review the evidence base for atrial fibrillation again next year, which could change eligibility criteria and referral patterns.</w:t>
      </w:r>
    </w:p>
    <w:p>
      <w:r>
        <w:t>Combination therapy and sequencing strategies remain debated; respondents noted limited head-to-head evidence between Eliquex and competing agents.</w:t>
      </w:r>
    </w:p>
    <w:p>
      <w:r>
        <w:t>Registry data show that outcomes in atrial fibrillation depend heavily on early diagnosis, access to specialist care and adherence to maintenance therapy.</w:t>
      </w:r>
    </w:p>
    <w:p>
      <w:r>
        <w:t>Peer-to-peer education and congress data were cited as the most trusted sources when cardiologists evaluate new evidence on Factor Xa inhibitor agents.</w:t>
      </w:r>
    </w:p>
    <w:p>
      <w:r>
        <w:t>Payer decisions increasingly rely on health technology assessment, requiring evidence of clinical benefit versus the standard of care and cost-effectiveness analyses.</w:t>
      </w:r>
    </w:p>
    <w:p>
      <w:r>
        <w:t>Access to specialist centres influences adoption: academic centres adopt new therapies faster than community practices, where formulary restrictions and reimbursement criteria apply.</w:t>
      </w:r>
    </w:p>
    <w:p>
      <w:r>
        <w:t>Treatment burden, including monitoring visits and injection-site discomfort, was described as a key factor in long-term adherence and persistence.</w:t>
      </w:r>
    </w:p>
    <w:p>
      <w:r>
        <w:t>Safety monitoring focused on dizziness and bleeding events, with dose interruption or discontinuation used for severe adverse events.</w:t>
      </w:r>
    </w:p>
    <w:p>
      <w:r>
        <w:t>Cardiologists emphasised that patient-reported outcomes and quality of life are increasingly important when choosing between Factor Xa inhibitor options.</w:t>
      </w:r>
    </w:p>
    <w:p>
      <w:r>
        <w:t>Sequencing after progression remains an open question; cardiologists in Germany reported using a different mechanism of action after Eliquex fails.</w:t>
      </w:r>
    </w:p>
    <w:p>
      <w:r>
        <w:t>Education needs include biomarker testing, management of adverse events and counselling patients on the expected benefit-risk.</w:t>
      </w:r>
    </w:p>
    <w:p>
      <w:pPr>
        <w:pStyle w:val="Heading1"/>
      </w:pPr>
      <w:r>
        <w:t>Unmet Need</w:t>
      </w:r>
    </w:p>
    <w:p>
      <w:r>
        <w:t>Cardiologists identified missed maintenance doses and cost and formulary access remain barriers as the main unmet needs in atrial fibrillation.</w:t>
      </w:r>
    </w:p>
    <w:p>
      <w:r>
        <w:t>Patient-reported outcomes and quality of life measures are increasingly used to guide treatment decisions.</w:t>
      </w:r>
    </w:p>
    <w:p>
      <w:r>
        <w:t>Medical education priorities include recognising hyperkalaemia early, communicating realistic expectations, and coordinating with primary care.</w:t>
      </w:r>
    </w:p>
    <w:p>
      <w:r>
        <w:t>Treatment burden, including monitoring visits and discontinuation after early adverse events, was described as a key factor in long-term adherence and persistence.</w:t>
      </w:r>
    </w:p>
    <w:p>
      <w:r>
        <w:t>Safety monitoring focused on hyperkalaemia and hypotension, with dose interruption or discontinuation used for severe adverse events.</w:t>
      </w:r>
    </w:p>
    <w:p>
      <w:r>
        <w:t>Combination therapy and sequencing strategies remain debated; respondents noted limited head-to-head evidence between Eliquex and competing agents.</w:t>
      </w:r>
    </w:p>
    <w:p>
      <w:r>
        <w:t>Guideline committees are expected to review the evidence base for atrial fibrillation again next year, which could change eligibility criteria and referral patterns.</w:t>
      </w:r>
    </w:p>
    <w:p>
      <w:r>
        <w:t>Subgroup analyses suggest that benefit with Eliquex is most pronounced in patients with a favourable biomarker profile and a lower comorbidity burden.</w:t>
      </w:r>
    </w:p>
    <w:p>
      <w:r>
        <w:t>Education needs include biomarker testing, management of adverse events and counselling patients on the expected benefit-risk.</w:t>
      </w:r>
    </w:p>
    <w:p>
      <w:r>
        <w:t>Clinical guidelines in Italy recommend second-line use of agents in this class, and recent updates have broadened eligibility based on biomarker status and comorbidity profile.</w:t>
      </w:r>
    </w:p>
    <w:p>
      <w:r>
        <w:t>Payer decisions increasingly rely on health technology assessment, requiring evidence of clinical benefit versus the standard of care and cost-effectiveness analyses.</w:t>
      </w:r>
    </w:p>
    <w:p>
      <w:r>
        <w:t>Access to specialist centres influences adoption: academic centres adopt new therapies faster than community practices, where formulary restrictions and reimbursement criteria apply.</w:t>
      </w:r>
    </w:p>
    <w:p>
      <w:r>
        <w:t>Registry data show that outcomes in atrial fibrillation depend heavily on early diagnosis, access to specialist care and adherence to maintenance therapy.</w:t>
      </w:r>
    </w:p>
    <w:p>
      <w:r>
        <w:t>Supply and logistics are not a concern for Eliquex, though cold-chain handling and nurse-led administration add workload in busy clinics.</w:t>
      </w:r>
    </w:p>
    <w:p>
      <w:r>
        <w:t>Respondents expect real-world persistence on Eliquex to be lower than in trials, mainly because of discontinuation after early adverse events and the complexity of managing hypotension.</w:t>
      </w:r>
    </w:p>
    <w:p>
      <w:pPr>
        <w:pStyle w:val="Heading1"/>
      </w:pPr>
      <w:r>
        <w:t>Pipeline and Emerging Therapies</w:t>
      </w:r>
    </w:p>
    <w:p>
      <w:r>
        <w:t>Several phase 3 programmes are evaluating next-generation options in atrial fibrillation. Early data suggest improved progression-free survival and a manageable safety profile.</w:t>
      </w:r>
    </w:p>
    <w:p>
      <w:r>
        <w:t>The unmet need in atrial fibrillation persists in patients who relapse or become refractory, where options are limited and outcomes remain poor.</w:t>
      </w:r>
    </w:p>
    <w:p>
      <w:r>
        <w:t>Registry data show that outcomes in atrial fibrillation depend heavily on early diagnosis, access to specialist care and adherence to maintenance therapy.</w:t>
      </w:r>
    </w:p>
    <w:p>
      <w:r>
        <w:t>Treatment burden, including monitoring visits and treatment burden over long durations, was described as a key factor in long-term adherence and persistence.</w:t>
      </w:r>
    </w:p>
    <w:p>
      <w:r>
        <w:t>Respondents expect real-world persistence on Eliquex to be lower than in trials, mainly because of treatment burden over long durations and the complexity of managing hypotension.</w:t>
      </w:r>
    </w:p>
    <w:p>
      <w:r>
        <w:t>The competitive set is evolving as new mechanisms enter phase 3 development, with readouts expected over the next two to three years.</w:t>
      </w:r>
    </w:p>
    <w:p>
      <w:r>
        <w:t>Sequencing after progression remains an open question; cardiologists in Italy reported using a different mechanism of action after Eliquex fails.</w:t>
      </w:r>
    </w:p>
    <w:p>
      <w:r>
        <w:t>Education needs include biomarker testing, management of adverse events and counselling patients on the expected benefit-risk.</w:t>
      </w:r>
    </w:p>
    <w:p>
      <w:r>
        <w:t>Supply and logistics are not a concern for Eliquex, though cold-chain handling and nurse-led administration add workload in busy clinics.</w:t>
      </w:r>
    </w:p>
    <w:p>
      <w:r>
        <w:t>Combination therapy and sequencing strategies remain debated; respondents noted limited head-to-head evidence between Eliquex and competing agents.</w:t>
      </w:r>
    </w:p>
    <w:p>
      <w:r>
        <w:t>Patient advocacy groups are pushing for earlier access, and shared decision-making tools are being piloted to explain benefit, risk and treatment burden.</w:t>
      </w:r>
    </w:p>
    <w:p>
      <w:r>
        <w:t>Cardiologists emphasised that patient-reported outcomes and quality of life are increasingly important when choosing between Factor Xa inhibitor options.</w:t>
      </w:r>
    </w:p>
    <w:p>
      <w:r>
        <w:t>Peer-to-peer education and congress data were cited as the most trusted sources when cardiologists evaluate new evidence on Factor Xa inhibitor agents.</w:t>
      </w:r>
    </w:p>
    <w:p>
      <w:r>
        <w:t>Biosimilar and generic competition in adjacent classes is shaping price expectations, even where Eliquex has no direct substitute.</w:t>
      </w:r>
    </w:p>
    <w:p>
      <w:pPr>
        <w:pStyle w:val="Heading1"/>
      </w:pPr>
      <w:r>
        <w:t>Implications for Brands</w:t>
      </w:r>
    </w:p>
    <w:p>
      <w:r>
        <w:t>Eliquex is positioned to benefit if payers expand reimbursement. Brand teams should invest in real-world evidence and cardiologist education.</w:t>
      </w:r>
    </w:p>
    <w:p>
      <w:r>
        <w:t>Biosimilar and generic competition in adjacent classes is shaping price expectations, even where Eliquex has no direct substitute.</w:t>
      </w:r>
    </w:p>
    <w:p>
      <w:r>
        <w:t>Treatment burden, including monitoring visits and monitoring requirements, was described as a key factor in long-term adherence and persistence.</w:t>
      </w:r>
    </w:p>
    <w:p>
      <w:r>
        <w:t>Real-world evidence from registries suggests that outcomes in routine practice are broadly consistent with phase 3 trial results, although persistence and discontinuation rates are higher outside clinical trials.</w:t>
      </w:r>
    </w:p>
    <w:p>
      <w:r>
        <w:t>Supply and logistics are not a concern for Eliquex, though cold-chain handling and nurse-led administration add workload in busy clinics.</w:t>
      </w:r>
    </w:p>
    <w:p>
      <w:r>
        <w:t>Patient advocacy groups are pushing for earlier access, and shared decision-making tools are being piloted to explain benefit, risk and treatment burden.</w:t>
      </w:r>
    </w:p>
    <w:p>
      <w:r>
        <w:t>Access to specialist centres influences adoption: academic centres adopt new therapies faster than community practices, where formulary restrictions and reimbursement criteria apply.</w:t>
      </w:r>
    </w:p>
    <w:p>
      <w:r>
        <w:t>Respondents expect real-world persistence on Eliquex to be lower than in trials, mainly because of monitoring requirements and the complexity of managing dizziness.</w:t>
      </w:r>
    </w:p>
    <w:p>
      <w:r>
        <w:t>Combination therapy and sequencing strategies remain debated; respondents noted limited head-to-head evidence between Eliquex and competing agents.</w:t>
      </w:r>
    </w:p>
    <w:p>
      <w:r>
        <w:t>Safety monitoring focused on renal function decline and dizziness, with dose interruption or discontinuation used for severe adverse events.</w:t>
      </w:r>
    </w:p>
    <w:p>
      <w:r>
        <w:t>Guideline committees are expected to review the evidence base for atrial fibrillation again next year, which could change eligibility criteria and referral patterns.</w:t>
      </w:r>
    </w:p>
    <w:p>
      <w:r>
        <w:t>Cost-effectiveness submissions typically model first-line use, and payers question the durability of benefit beyond the trial follow-up period.</w:t>
      </w:r>
    </w:p>
    <w:p>
      <w:r>
        <w:t>Payer decisions increasingly rely on health technology assessment, requiring evidence of clinical benefit versus the standard of care and cost-effectiveness analyses.</w:t>
      </w:r>
    </w:p>
    <w:p>
      <w:r>
        <w:t>Education needs include biomarker testing, management of adverse events and counselling patients on the expected benefit-risk.</w:t>
      </w:r>
    </w:p>
    <w:p>
      <w:r>
        <w:t>Synthetic document generated for the Watson prototype. All brand names and figures are fictional.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Indication Deep Dive: atrial fibrillation (EU, 2023)</dc:title>
  <dc:subject/>
  <dc:creator>Priya Venkat</dc:creator>
  <cp:keywords/>
  <dc:description>generated by python-docx</dc:description>
  <cp:lastModifiedBy/>
  <cp:revision>1</cp:revision>
  <dcterms:created xsi:type="dcterms:W3CDTF">2023-03-01T09:00:00Z</dcterms:created>
  <dcterms:modified xsi:type="dcterms:W3CDTF">2013-12-23T23:15:00Z</dcterms:modified>
  <cp:category/>
</cp:coreProperties>
</file>