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2026-10-07 02:35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$0, bootstrap $0,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$0, bootstrap $0. CVaR95 (bootstrap terminal): 100%.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Monte Carlo and historical bootstrap broadly agree.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8.39%, mean annual return 8.68%, volatility 12.45%, Sharpe 0.70, Sortino 1.20,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69.7%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0.0%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+ 100000.00% transaction cost). Median 2033 value $0; P(terminal &gt; $450k) = 0.0%; P(all 10 reserve payments funded) = 0.0%; P(&gt;20% drawdown) = 100.0%. Required reserve $441,127; median facility contribution $-441,127.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$0; P(terminal &gt; $450k) = 0.0%; P(all payments funded) = 0.0%; P(&gt;20% drawdown) = 100.0%.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-1.000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rPr>
          <w:b/>
          <w:i w:val="0"/>
        </w:rPr>
        <w:t>Engines broadly agree on central outcomes; residual differences reflect tail-shape assumptions (Gaussian vs real historical sequences).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0.0%. No return shift reaches 90% success across the grid. Portfolio becomes materially fragile (success &lt;75%) at volatility &gt;= 0.70x.</w:t>
      </w:r>
    </w:p>
    <w:p>
      <w:r>
        <w:drawing>
          <wp:inline xmlns:a="http://schemas.openxmlformats.org/drawingml/2006/main" xmlns:pic="http://schemas.openxmlformats.org/drawingml/2006/picture">
            <wp:extent cx="5669280" cy="40825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2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825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2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-34.2%, contribution -12.16%.</w:t>
      </w:r>
    </w:p>
    <w:p>
      <w:r>
        <w:rPr>
          <w:b w:val="0"/>
          <w:i w:val="0"/>
        </w:rPr>
        <w:t>Communication Services: 9.5% of portfolio, 1 holding(s) (DIS); 12m return -6.3%, contribution -0.60%.</w:t>
      </w:r>
    </w:p>
    <w:p>
      <w:r>
        <w:rPr>
          <w:b w:val="0"/>
          <w:i w:val="0"/>
        </w:rPr>
        <w:t>Broad Market (ETF): 25.0% of portfolio, 1 holding(s) (VOO); 12m return 15.5%, contribution 3.88%.</w:t>
      </w:r>
    </w:p>
    <w:p>
      <w:r>
        <w:rPr>
          <w:b w:val="0"/>
          <w:i w:val="0"/>
        </w:rPr>
        <w:t>Bonds: 17.5% of portfolio, 2 holding(s) (IEF, SHY); 12m return -0.1%, contribution -0.01%.</w:t>
      </w:r>
    </w:p>
    <w:p>
      <w:r>
        <w:rPr>
          <w:b w:val="0"/>
          <w:i w:val="0"/>
        </w:rPr>
        <w:t>Cash: 12.5% of portfolio, 1 holding(s) (CASH); 12m return 3.8%, contribution 0.48%.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100000.00%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13.631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8.967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11.372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117.000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298.8%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1.461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4.755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3.220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1.639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4.777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CVaR95 100% vs Gaussian MC 100% — real history has fatter tails than the parametric model.</w:t>
      </w:r>
    </w:p>
    <w:p>
      <w:r>
        <w:rPr>
          <w:b w:val="0"/>
          <w:i w:val="0"/>
        </w:rPr>
        <w:t>- Reserve funding risk: P(all 10 payments funded) = 0.0% (MC) / 0.0%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TAIL-07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Tail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terminal CVaR 95%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terminal CVaR(95%) loss &gt; 30.0% threshold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Size the 2033 reserve from the heavier-tail engine; treat point estimates as optimistic.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TAIL-08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Tail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Historical Bootstrap terminal CVaR 95%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terminal CVaR(95%) loss &gt; 30.0% threshold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Size the 2033 reserve from the heavier-tail engine; treat point estimates as optimistic.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Liquidity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Cash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100,000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Cash allocation &lt; configured minimum cash weight (10000000.0%)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Raise cash to at least the configured minimum before the 2033 reserve phase.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Historical Bootstrap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SUCC-10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terminal value &gt; invested capital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0.800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P(2033 terminal &gt; contributions) &lt; 80.0%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Reassess expected-return assumptions and contribution schedule; results are sensitive to the equity return assumption.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SENS-11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MONITOR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Sensitivity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Volatility multiplier at which success falls below 75%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1.100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Fragile volatility threshold &lt;= 1.1x base volatility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Outcomes are fragile to modest volatility increases; prefer conservative reserve sizing.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0.0%.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100000.00% cost budget; simulated mean turnover $51,258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100000.00%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$0, bootstrap $0).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$0; reserve funding probability 0.0%.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