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22:38 UTC | Seed 42 | 400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$661,245, bootstrap $674,645,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$421,303, bootstrap $441,918. CVaR95 (bootstrap terminal): 12%.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400 sims, seed 42, monthly steps, correlated multivariate returns, glide path + 5pp bands + 0.10% transaction cost). Median 2033 value $661,245; P(terminal &gt; $450k) = 92.8%; P(all 10 reserve payments funded) = 85.5%; P(&gt;20% drawdown) = 27.0%. Required reserve $441,127; median facility contribution $220,118.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400 sims). Median 2033 value $674,645; P(terminal &gt; $450k) = 93.2%; P(all payments funded) = 14.8%;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421,303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441,918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551,145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567,544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803,380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815,088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1,108,291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1,093,254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12%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85.5% (MC) / 14.8%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14.8%.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$460,336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400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$661,245, bootstrap $674,645).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$441,918; reserve funding probability 14.8%.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