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2026-10-04 19:22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$675,994, bootstrap $681,546,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$423,264, bootstrap $445,936.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26.7 years on current weights (rebalanced monthly, total-return basis). CAGR 8.36%, mean annual return 8.64%, volatility 12.45%, Sharpe 0.69, Sortino 1.19,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01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4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$675,994; P(terminal &gt; $450k) = 92.5%; P(all 10 reserve payments funded) = 82.0%; P(&gt;20% drawdown) = 29.1%. Required reserve $441,127; median facility contribution $234,867.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$681,546; P(terminal &gt; $450k) = 94.5%; P(all payments funded) = 19.3%; P(&gt;20% drawdown) = 20.4%.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445,936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568,277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1,078,161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becomes materially fragile (success &lt;75%) at volatility &gt;= 1.00x.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-35.0%, contribution -12.43%.</w:t>
      </w:r>
    </w:p>
    <w:p>
      <w:r>
        <w:rPr>
          <w:b w:val="0"/>
          <w:i w:val="0"/>
        </w:rPr>
        <w:t>Communication Services: 9.5% of portfolio, 1 holding(s) (DIS); 12m return -7.9%, contribution -0.75%.</w:t>
      </w:r>
    </w:p>
    <w:p>
      <w:r>
        <w:rPr>
          <w:b w:val="0"/>
          <w:i w:val="0"/>
        </w:rPr>
        <w:t>Broad Market (ETF): 25.0% of portfolio, 1 holding(s) (VOO); 12m return 14.1%, contribution 3.53%.</w:t>
      </w:r>
    </w:p>
    <w:p>
      <w:r>
        <w:rPr>
          <w:b w:val="0"/>
          <w:i w:val="0"/>
        </w:rPr>
        <w:t>Bonds: 17.5% of portfolio, 2 holding(s) (IEF, SHY); 12m return -0.2%, contribution -0.03%.</w:t>
      </w:r>
    </w:p>
    <w:p>
      <w:r>
        <w:rPr>
          <w:b w:val="0"/>
          <w:i w:val="0"/>
        </w:rPr>
        <w:t>Cash: 12.5% of portfolio, 1 holding(s) (CASH); 12m return 3.8%, contribution 0.48%.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684,798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406,997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678,001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13.605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8.949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11.350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117.000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298.6%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97.3%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3.146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19.3%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19.3%.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$470,642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$675,994, bootstrap $681,546).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$445,936; reserve funding probability 19.3%.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