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20:58 UTC | Seed 42 | 2,000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$672,783, bootstrap $677,921,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$421,713, bootstrap $444,645. CVaR95 (bootstrap terminal): 10%.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99.2%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2,000 sims, seed 42, monthly steps, correlated multivariate returns, glide path + 5pp bands + 0.10% transaction cost). Median 2033 value $672,783; P(terminal &gt; $450k) = 92.7%; P(all 10 reserve payments funded) = 84.3%; P(&gt;20% drawdown) = 27.7%. Required reserve $441,127; median facility contribution $231,656.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2,000 sims). Median 2033 value $677,921; P(terminal &gt; $450k) = 94.5%; P(all payments funded) = 17.5%; P(&gt;20% drawdown) = 20.0%.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672,783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558,755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572,291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672,783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828,620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813,510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1,105,186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91.2%. Minimum return shift for &gt;=90% success: -3%.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10%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17.5%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17.5%.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$472,944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2,000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$672,783, bootstrap $677,921).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$444,645; reserve funding probability 17.5%.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