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22:17 UTC | Seed 42 | 1,200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$673,128, bootstrap $678,312,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$420,621, bootstrap $451,196. CVaR95 (bootstrap terminal): 8%.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-0.3%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88.3%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65.2%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98.9%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1,200 sims, seed 42, monthly steps, correlated multivariate returns, glide path + 5pp bands + 0.10% transaction cost). Median 2033 value $673,128; P(terminal &gt; $450k) = 92.0%; P(all 10 reserve payments funded) = 84.7%; P(&gt;20% drawdown) = 28.2%. Required reserve $441,127; median facility contribution $232,001.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1,200 sims). Median 2033 value $678,312; P(terminal &gt; $450k) = 95.2%; P(all payments funded) = 17.5%; P(&gt;20% drawdown) = 19.5%.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673,128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678,312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420,621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451,196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555,310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574,536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673,128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678,312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829,833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801,273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1,127,619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1,064,630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0.197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8%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84.7% (MC) / 17.5%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0.282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17.5%.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$473,877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1,200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$673,128, bootstrap $678,312).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$451,196; reserve funding probability 17.5%.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