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2026-10-11 21:06 UTC | Seed 42 | 10,000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$676,069, bootstrap $677,641,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$423,219, bootstrap $442,866. CVaR95 (bootstrap terminal): 11%.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15.5%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-16.5%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29.1%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84.9%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79.2%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81.6%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72.7%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74.6%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65.5%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67.1%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84.9%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99.0%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10,000 sims, seed 42, monthly steps, correlated multivariate returns, glide path + 5pp bands + 0.10% transaction cost). Median 2033 value $676,069; P(terminal &gt; $450k) = 92.5%; P(all 10 reserve payments funded) = 82.0%; P(&gt;20% drawdown) = 29.1%. Required reserve $441,127; median facility contribution $234,941.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10,000 sims). Median 2033 value $677,641; P(terminal &gt; $450k) = 94.3%; P(all payments funded) = 19.2%; P(&gt;20% drawdown) = 20.0%.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676,069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677,641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423,219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442,866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557,900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566,983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676,069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677,641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825,201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816,433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1,097,056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1,076,050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-0.165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0.233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92.3%. Minimum return shift for &gt;=90% success: -2%. Portfolio remains robust across the tested volatility range.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11% vs Gaussian MC 16% — real history has fatter tails than the parametric model.</w:t>
      </w:r>
    </w:p>
    <w:p>
      <w:r>
        <w:rPr>
          <w:b w:val="0"/>
          <w:i w:val="0"/>
        </w:rPr>
        <w:t>- Reserve funding risk: P(all 10 payments funded) = 82.0% (MC) / 19.2%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0.192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0.291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19.2%.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$470,654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10,000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$676,069, bootstrap $677,641).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$442,866; reserve funding probability 19.2%.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