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Modeling, Risk Management, Simulation &amp; Reporting</w:t>
      </w:r>
    </w:p>
    <w:p>
      <w:r>
        <w:rPr>
          <w:b w:val="0"/>
          <w:i/>
        </w:rPr>
        <w:t>Prepared for: Laura Gao Portfolio | Generated 2026-10-11 23:28 UTC | Seed 42 | 1,500 simulations | Model v1.0.0</w:t>
      </w:r>
    </w:p>
    <w:p>
      <w:r>
        <w:rPr>
          <w:b w:val="0"/>
          <w:i/>
        </w:rPr>
        <w:t>All forward-looking figures are model estimates, simulation results, scenarios, or assumptions — never guarantees.</w:t>
      </w:r>
    </w:p>
    <w:p>
      <w:pPr>
        <w:pStyle w:val="Heading1"/>
      </w:pPr>
      <w:r>
        <w:t>How to read this report</w:t>
      </w:r>
    </w:p>
    <w:p>
      <w:r>
        <w:rPr>
          <w:b w:val="0"/>
          <w:i/>
        </w:rPr>
        <w:t>Read it as answers to these questions rather than front to back: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 the 2033 obligation actually be funded?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12 Model Comparison; Section 6 Risk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bad can it get?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9 Monte Carlo Results; Section 11 Historical Bootstrap Results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Is this actually diversified?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7 Correlation Analysis; Section 8 Concentration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Which decisions dominate the outcome?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19.5 Rule-Based Flags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much do my assumptions matter?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13 Sensitivity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would a real crisis do to this mix?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14 Crisis Stress Tests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does any given number mean?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Appendix A Metric Definitions</w:t>
            </w:r>
          </w:p>
        </w:tc>
      </w:tr>
    </w:tbl>
    <w:p>
      <w:r>
        <w:rPr>
          <w:b w:val="0"/>
          <w:i/>
        </w:rPr>
        <w:t>Every metric named in this report is defined in Appendix A, generated from the same source file as the workbook Definitions sheet and the web UI Definitions tab.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Where are we now? 7 holdings; equity 70%, bonds 18%, cash 12%. Historical CAGR 8.4%, volatility 12.4%, max drawdown -31.0%.</w:t>
      </w:r>
    </w:p>
    <w:p>
      <w:r>
        <w:rPr>
          <w:b w:val="0"/>
          <w:i w:val="0"/>
        </w:rPr>
        <w:t>What is expected? Simulated median 2033 value: Monte Carlo $660,425, bootstrap $658,344, Markov $654,294 (from $450,000 invested 2027-2028). These are model estimates, not guarantees.</w:t>
      </w:r>
    </w:p>
    <w:p>
      <w:r>
        <w:rPr>
          <w:b w:val="0"/>
          <w:i w:val="0"/>
        </w:rPr>
        <w:t>What could go wrong? 5th-percentile 2033 outcomes: MC $442,843, bootstrap $460,845. CVaR95 (bootstrap terminal): 5%.</w:t>
      </w:r>
    </w:p>
    <w:p>
      <w:r>
        <w:rPr>
          <w:b w:val="0"/>
          <w:i w:val="0"/>
        </w:rPr>
        <w:t>Biggest concentration: correlated group Growth/Consumer-Tech (ADBE+DIS+DUOL) at 45% vs 30% cap; largest single holding VOO at 25%.</w:t>
      </w:r>
    </w:p>
    <w:p>
      <w:r>
        <w:rPr>
          <w:b w:val="0"/>
          <w:i w:val="0"/>
        </w:rPr>
        <w:t>Biggest modeling uncertainty: MATERIAL disagreement between Monte Carlo and historical bootstrap — see Model Comparison.</w:t>
      </w:r>
    </w:p>
    <w:p>
      <w:r>
        <w:rPr>
          <w:b w:val="0"/>
          <w:i w:val="0"/>
        </w:rPr>
        <w:t>What should change? See Recommended Actions (prioritized): trim correlated-group overweight, size the 2033 reserve from bootstrap (heavier-tail) results, adopt the glide path.</w:t>
      </w:r>
    </w:p>
    <w:p>
      <w:r>
        <w:rPr>
          <w:b w:val="0"/>
          <w:i w:val="0"/>
        </w:rPr>
        <w:t>Reserve design: required reserve (PV of 10 x $50,000 payments 2033-2042 at 2.9%) = $441,127.</w:t>
      </w:r>
    </w:p>
    <w:p>
      <w:pPr>
        <w:pStyle w:val="Heading1"/>
      </w:pPr>
      <w:r>
        <w:t>2. Portfolio Overview</w:t>
      </w:r>
    </w:p>
    <w:p>
      <w:r>
        <w:rPr>
          <w:b w:val="0"/>
          <w:i w:val="0"/>
        </w:rPr>
        <w:t>7 holdings; total invested contributions $450,000 (2027-2028); weights supplied; equity 70%, bonds 18%, cash 12%.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asset_class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volatility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ETF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Broad Market (ETF)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15.0%</w:t>
            </w:r>
          </w:p>
        </w:tc>
      </w:tr>
    </w:tbl>
    <w:p>
      <w:pPr>
        <w:pStyle w:val="Heading1"/>
      </w:pPr>
      <w:r>
        <w:t>3. Current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n_holdings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35.5%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</w:tbl>
    <w:p>
      <w:pPr>
        <w:pStyle w:val="Heading1"/>
      </w:pPr>
      <w:r>
        <w:t>4. Investment Thesis</w:t>
      </w:r>
    </w:p>
    <w:p>
      <w:r>
        <w:rPr>
          <w:b w:val="0"/>
          <w:i w:val="0"/>
        </w:rPr>
        <w:t>Theses below are taken from the input spreadsheet where supplied; missing theses are flagged as THESIS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thesis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portfolio_role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target_weight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risk_rating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Creative software; thematic tie to Laura's creative-economy background.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Liquidity/flexibility buffer; held flat, not risk-scored.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 Equivalent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Storytelling/media/IP; thematic tie to Laura's work as an author and illustrator.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Cyclical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Education/edtech; thematic tie to Laura's work as an educator.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(high volatility)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Intermediate-duration safety; matches your existing 10-Year Treasury pick.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Short-duration complement; adds internal diversification within the Bonds bucket.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broad-market holding; anchors the growth bucket with built-in diversification.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 / Diversifier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</w:tbl>
    <w:p>
      <w:pPr>
        <w:pStyle w:val="Heading1"/>
      </w:pPr>
      <w:r>
        <w:t>5. Historical Performance</w:t>
      </w:r>
    </w:p>
    <w:p>
      <w:r>
        <w:rPr>
          <w:b w:val="0"/>
          <w:i w:val="0"/>
        </w:rPr>
        <w:t>Portfolio history spans 26.8 years on current weights (rebalanced monthly, total-return basis). CAGR 8.43%, mean annual return 8.72%, volatility 12.45%, Sharpe 0.70, Sortino 1.21, max drawdown -31.02% (peak 2021-09-16 00:00:00, trough 2022-10-14 00:00:00, recovery 2023-11-09 00:00:00). Survivorship bias applies: only current holdings are represented.</w:t>
      </w:r>
    </w:p>
    <w:p>
      <w:pPr>
        <w:pStyle w:val="Heading1"/>
      </w:pPr>
      <w:r>
        <w:t>6.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-2.4%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Historical max drawdown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-31.0%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120.6%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Downside deviation (annual)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raw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normalized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Effective number of bets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577.7%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median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-14.0%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95th pct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-8.1%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85.3%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88.9%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80.1%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82.7%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73.7%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74.8%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64.9%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65.9%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100%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85.3%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90%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93.7%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80%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97.9%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70%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99.6%</w:t>
            </w:r>
          </w:p>
        </w:tc>
      </w:tr>
    </w:tbl>
    <w:p>
      <w:r>
        <w:rPr>
          <w:b w:val="0"/>
          <w:i/>
        </w:rPr>
        <w:t>VaR/CVaR are one-month horizon figures unless labeled terminal; historical, parametric, and Monte Carlo variants shown for comparison.</w:t>
      </w:r>
    </w:p>
    <w:p>
      <w:pPr>
        <w:pStyle w:val="Heading1"/>
      </w:pPr>
      <w:r>
        <w:t>7. Correlation Analysis</w:t>
      </w:r>
    </w:p>
    <w:p>
      <w:r>
        <w:rPr>
          <w:b w:val="0"/>
          <w:i w:val="0"/>
        </w:rPr>
        <w:t>1 pair(s) exceed the 0.70 threshold: IEF-SHY (0.78). Nominal diversification across 7 tickers masks correlated exposures — number of securities is not the number of independent risk bets.</w:t>
      </w:r>
    </w:p>
    <w:p>
      <w:pPr>
        <w:pStyle w:val="Heading1"/>
      </w:pPr>
      <w:r>
        <w:t>8. Concentration Analysis</w:t>
      </w:r>
    </w:p>
    <w:p>
      <w:r>
        <w:rPr>
          <w:b w:val="0"/>
          <w:i w:val="0"/>
        </w:rPr>
        <w:t>Largest position VOO at 25.0%; top-3 60.5%; HHI 0.173 (effective bets 5.8 of 7 holdings). Correlation groups: Growth/Consumer-Tech: 45%.</w:t>
      </w:r>
    </w:p>
    <w:p>
      <w:pPr>
        <w:pStyle w:val="Heading1"/>
      </w:pPr>
      <w:r>
        <w:t>9. Monte Carlo Results</w:t>
      </w:r>
    </w:p>
    <w:p>
      <w:r>
        <w:rPr>
          <w:b w:val="0"/>
          <w:i w:val="0"/>
        </w:rPr>
        <w:t>Monte Carlo (gaussian, 1,500 sims, seed 42, monthly steps, correlated multivariate returns, glide path + 5pp bands + 0.10% transaction cost). Median 2033 value $660,425; P(terminal &gt; $450k) = 94.4%; P(all 10 reserve payments funded) = 85.8%; P(&gt;20% drawdown) = 16.1%. Required reserve $441,127; median facility contribution $219,297.</w:t>
      </w:r>
    </w:p>
    <w:p>
      <w:pPr>
        <w:pStyle w:val="Heading1"/>
      </w:pPr>
      <w:r>
        <w:t>10. Markov Model Results</w:t>
      </w:r>
    </w:p>
    <w:p>
      <w:r>
        <w:rPr>
          <w:b w:val="0"/>
          <w:i w:val="0"/>
        </w:rPr>
        <w:t>Markov regime model on annual portfolio returns (states: severe_bear, bear, neutral, bull, strong_bull). Current state: neutral. P(bear next year) 9.5%; P(bear at any point 2027-2032) 61.5%. Stationary distribution: severe_bear=0.04, bear=0.08, neutral=0.25, bull=0.44, strong_bull=0.19. Limitations: Markov memoryless assumption, state discretization, dependence on historical transition frequencies, non-stationarity, structural market change — not a deterministic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index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strong_bull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strong_bull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</w:tr>
    </w:tbl>
    <w:p>
      <w:pPr>
        <w:pStyle w:val="Heading1"/>
      </w:pPr>
      <w:r>
        <w:t>11. Historical Bootstrap Results</w:t>
      </w:r>
    </w:p>
    <w:p>
      <w:r>
        <w:rPr>
          <w:b w:val="0"/>
          <w:i w:val="0"/>
        </w:rPr>
        <w:t>Historical bootstrap (block bootstrap, 20-trading-day blocks of real 2000-2025 joint daily returns, 1,500 sims). Median 2033 value $658,344; P(terminal &gt; $450k) = 96.6%; P(all payments funded) = 18.2%; P(&gt;20% drawdown) = 10.2%. This engine answers: what if the portfolio lived through actual historical market sequences?</w:t>
      </w:r>
    </w:p>
    <w:p>
      <w:pPr>
        <w:pStyle w:val="Heading1"/>
      </w:pPr>
      <w:r>
        <w:t>12.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Monte Carlo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Markov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Historical Bootstrap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660,425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658,344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442,843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419,604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460,845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560,369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540,808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568,389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50th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660,425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658,344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798,185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804,239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770,700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1,030,798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1,091,573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981,062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reserve fully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0.858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max drawdown (growth)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&gt;20% drawdown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0.147</w:t>
            </w:r>
          </w:p>
        </w:tc>
      </w:tr>
    </w:tbl>
    <w:p>
      <w:r>
        <w:rPr>
          <w:b/>
          <w:i w:val="0"/>
        </w:rPr>
        <w:t>MATERIAL MODEL DISAGREEMENT between engines. The portfolio's apparent robustness depends on modeling assumptions; plan against the more conservative engine.</w:t>
      </w:r>
    </w:p>
    <w:p>
      <w:pPr>
        <w:pStyle w:val="Heading1"/>
      </w:pPr>
      <w:r>
        <w:t>13. Sensitivity Analysis</w:t>
      </w:r>
    </w:p>
    <w:p>
      <w:r>
        <w:rPr>
          <w:b w:val="0"/>
          <w:i w:val="0"/>
        </w:rPr>
        <w:t>Base case success 94.2%. Minimum return shift for &gt;=90% success: -3%. Portfolio remains robust across the tested volatility range.</w:t>
      </w:r>
    </w:p>
    <w:p>
      <w:pPr>
        <w:pStyle w:val="Heading1"/>
      </w:pPr>
      <w:r>
        <w:t>14. Crisis Stress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crisis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trough_date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recovery_date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days_to_recovery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worst_day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worst_week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worst_month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best_holding_return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2008 Global Financial Crisis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2008-01-01 to 2009-03-31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-22.3%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2009-03-02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2009-10-19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0.162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2020 COVID Crash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2020-02-19 to 2020-04-30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2020-03-20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2020-06-05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2022 Rate-Hike Selloff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2022-01-01 to 2022-12-31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-20.8%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2022-10-14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2023-06-12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0.042</w:t>
            </w:r>
          </w:p>
        </w:tc>
      </w:tr>
    </w:tbl>
    <w:p>
      <w:pPr>
        <w:pStyle w:val="Heading2"/>
      </w:pPr>
      <w:r>
        <w:t>14.1 Hypothetical Forward Scenarios (assumptions, not forecasts)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severe_equity_crash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-27.1%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stagflation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-15.8%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-20.6%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inflation_shock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-12.0%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</w:tbl>
    <w:p>
      <w:pPr>
        <w:pStyle w:val="Heading1"/>
      </w:pPr>
      <w:r>
        <w:t>15. Sector Analysis</w:t>
      </w:r>
    </w:p>
    <w:p>
      <w:r>
        <w:rPr>
          <w:b w:val="0"/>
          <w:i w:val="0"/>
        </w:rPr>
        <w:t>Information Technology: 35.5% of portfolio, 2 holding(s) (ADBE, DUOL); 12m return -33.2%, contribution -11.81%.</w:t>
      </w:r>
    </w:p>
    <w:p>
      <w:r>
        <w:rPr>
          <w:b w:val="0"/>
          <w:i w:val="0"/>
        </w:rPr>
        <w:t>Communication Services: 9.5% of portfolio, 1 holding(s) (DIS); 12m return -2.7%, contribution -0.25%.</w:t>
      </w:r>
    </w:p>
    <w:p>
      <w:r>
        <w:rPr>
          <w:b w:val="0"/>
          <w:i w:val="0"/>
        </w:rPr>
        <w:t>Broad Market (ETF): 25.0% of portfolio, 1 holding(s) (VOO); 12m return 15.4%, contribution 3.86%.</w:t>
      </w:r>
    </w:p>
    <w:p>
      <w:r>
        <w:rPr>
          <w:b w:val="0"/>
          <w:i w:val="0"/>
        </w:rPr>
        <w:t>Bonds: 17.5% of portfolio, 2 holding(s) (IEF, SHY); 12m return 0.1%, contribution 0.01%.</w:t>
      </w:r>
    </w:p>
    <w:p>
      <w:r>
        <w:rPr>
          <w:b w:val="0"/>
          <w:i w:val="0"/>
        </w:rPr>
        <w:t>Cash: 12.5% of portfolio, 1 holding(s) (CASH); 12m return 3.9%, contribution 0.49%.</w:t>
      </w:r>
    </w:p>
    <w:p>
      <w:pPr>
        <w:pStyle w:val="Heading1"/>
      </w:pPr>
      <w:r>
        <w:t>16. Rebalancing Framework</w:t>
      </w:r>
    </w:p>
    <w:p>
      <w:r>
        <w:rPr>
          <w:b w:val="0"/>
          <w:i w:val="0"/>
        </w:rPr>
        <w:t>Bands: absolute 5%; transaction cost 0.10% of turnover assumed (not zero).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lower_band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upper_band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suggested_trade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turnover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Equity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</w:tbl>
    <w:p>
      <w:pPr>
        <w:pStyle w:val="Heading1"/>
      </w:pPr>
      <w:r>
        <w:t>17. 2033 Glide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p5_terminal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prob_depletion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prob_payments_funded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median_max_dd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var_95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cvar_95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684,915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407,103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0.207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662,821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442,738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84.9%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-0.141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0.116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accelerating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670,598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426,594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84.0%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-0.157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0.153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675,908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421,713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0.167</w:t>
            </w:r>
          </w:p>
        </w:tc>
      </w:tr>
    </w:tbl>
    <w:p>
      <w:r>
        <w:rPr>
          <w:b w:val="0"/>
          <w:i/>
        </w:rPr>
        <w:t>Greater downside protection may reduce upside participation — see impact table.</w:t>
      </w:r>
    </w:p>
    <w:p>
      <w:pPr>
        <w:pStyle w:val="Heading1"/>
      </w:pPr>
      <w:r>
        <w:t>18. Position-Level Risk Discipline</w:t>
      </w:r>
    </w:p>
    <w:p>
      <w:r>
        <w:rPr>
          <w:b w:val="0"/>
          <w:i w:val="0"/>
        </w:rPr>
        <w:t>These are portfolio risk-discipline rules, not short-term trading signals.</w:t>
      </w:r>
    </w:p>
    <w:p>
      <w:r>
        <w:rPr>
          <w:b w:val="0"/>
          <w:i w:val="0"/>
        </w:rPr>
        <w:t>- Maximum position size: 25% (current max: 25.0% in VOO)</w:t>
      </w:r>
    </w:p>
    <w:p>
      <w:r>
        <w:rPr>
          <w:b w:val="0"/>
          <w:i w:val="0"/>
        </w:rPr>
        <w:t>- Maximum sector/group exposure: correlated-group cap 30%</w:t>
      </w:r>
    </w:p>
    <w:p>
      <w:r>
        <w:rPr>
          <w:b w:val="0"/>
          <w:i w:val="0"/>
        </w:rPr>
        <w:t>- Thesis-break condition: trim any holding whose stated thesis is invalidated (see Investment Theses sheet)</w:t>
      </w:r>
    </w:p>
    <w:p>
      <w:r>
        <w:rPr>
          <w:b w:val="0"/>
          <w:i w:val="0"/>
        </w:rPr>
        <w:t>- Valuation/concentration trim: review any holding drifting &gt;5pp beyond target band</w:t>
      </w:r>
    </w:p>
    <w:p>
      <w:r>
        <w:rPr>
          <w:b w:val="0"/>
          <w:i w:val="0"/>
        </w:rPr>
        <w:t>- Drawdown review: portfolio-level review triggered at 20% simulated drawdown</w:t>
      </w:r>
    </w:p>
    <w:p>
      <w:pPr>
        <w:pStyle w:val="Heading2"/>
      </w:pPr>
      <w:r>
        <w:t>18.1 Stop-Loss Backtests (historical, not advice)</w:t>
      </w:r>
    </w:p>
    <w:p>
      <w:r>
        <w:rPr>
          <w:b w:val="0"/>
          <w:i w:val="0"/>
        </w:rPr>
        <w:t>Hard and trailing stops were backtested on adjusted price history with re-entry after 21 trading days. A stop is not selected merely because it produced the highest historical return.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cagr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vol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sharpe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sortino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total_return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exits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turnover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missed_upside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reentry_days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13.886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0.395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2.163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198.7%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-85.1%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11.588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-87.5%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73.000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99.3%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115.6%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-67.9%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0.266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1.556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75.9%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0.373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4.978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4.632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-77.0%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1.741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92.5%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-52.8%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6.293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0.117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95.2%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56.3%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-73.5%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49.000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138.8%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-75.8%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27.8%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109.8%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0.796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</w:tbl>
    <w:p>
      <w:pPr>
        <w:pStyle w:val="Heading1"/>
      </w:pPr>
      <w:r>
        <w:t>19. Key Risks</w:t>
      </w:r>
    </w:p>
    <w:p>
      <w:r>
        <w:rPr>
          <w:b w:val="0"/>
          <w:i w:val="0"/>
        </w:rPr>
        <w:t>- Correlated Growth/Consumer-Tech group concentration (45% vs 30% cap).</w:t>
      </w:r>
    </w:p>
    <w:p>
      <w:r>
        <w:rPr>
          <w:b w:val="0"/>
          <w:i w:val="0"/>
        </w:rPr>
        <w:t>- DUOL has short history (since 2021) — statistics low-confidence; Medium confidence estimates.</w:t>
      </w:r>
    </w:p>
    <w:p>
      <w:r>
        <w:rPr>
          <w:b w:val="0"/>
          <w:i w:val="0"/>
        </w:rPr>
        <w:t>- Tail risk: bootstrap CVaR95 5% vs Gaussian MC 10% — real history has fatter tails than the parametric model.</w:t>
      </w:r>
    </w:p>
    <w:p>
      <w:r>
        <w:rPr>
          <w:b w:val="0"/>
          <w:i w:val="0"/>
        </w:rPr>
        <w:t>- Reserve funding risk: P(all 10 payments funded) = 85.8% (MC) / 18.2% (bootstrap).</w:t>
      </w:r>
    </w:p>
    <w:p>
      <w:r>
        <w:rPr>
          <w:b w:val="0"/>
          <w:i w:val="0"/>
        </w:rPr>
        <w:t>- Survivorship bias: historical analysis reflects only surviving current holdings.</w:t>
      </w:r>
    </w:p>
    <w:p>
      <w:r>
        <w:rPr>
          <w:b w:val="0"/>
          <w:i w:val="0"/>
        </w:rPr>
        <w:t>- 1 high-correlation pairs (&gt;0.70) reduce effective diversification.</w:t>
      </w:r>
    </w:p>
    <w:p>
      <w:pPr>
        <w:pStyle w:val="Heading1"/>
      </w:pPr>
      <w:r>
        <w:t>19.5 Rule-Based Risk &amp; Rebalancing Flags</w:t>
      </w:r>
    </w:p>
    <w:p>
      <w:r>
        <w:rPr>
          <w:b w:val="0"/>
          <w:i/>
        </w:rPr>
        <w:t>Every flag below is produced by an explicit rule with a configured threshold and a calculated value. These are rule-based portfolio risk flags, not AI-generated recommendations.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current_value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GRP-01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 group 'Growth/Consumer-Tech' total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0.450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Correlated-group exposure &gt; configured cap (30.0%)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Trim the 'Growth/Consumer-Tech' group (ADBE, DIS, DUOL) toward 30.0%; these holdings move together and diversification is overstated.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MODEL-05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Model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vs historical bootstrap disagreement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Key metrics differ materially between Gaussian MC and real-history bootstrap (&gt;10pp probability or &gt;25% value)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ranges, not point estimates; make reserve/funding decisions using the conservative bootstrap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RESV-04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Funding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Probability all 10 reserve payments funded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0.182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min(MC, bootstrap) P(all reserve payments funded) &lt; 90.0%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Increase the reserve discount buffer, extend the glide path, or reduce payment size; plan against the conservative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CORR-03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IEF-SHY 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|Pairwise monthly correlation| &gt; configured threshold (0.70)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Treat IEF and SHY as one risk bet when sizing exposure; avoid adding correlated positions.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SEC-02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Information Technology sector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allocation &gt; configured maximum sector weight (35.0%)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Review/rebalance Information Technology exposure toward the 35.0% cap.</w:t>
            </w:r>
          </w:p>
        </w:tc>
      </w:tr>
    </w:tbl>
    <w:p>
      <w:pPr>
        <w:pStyle w:val="Heading2"/>
      </w:pPr>
      <w:r>
        <w:t>19.6 What each high-severity flag is really about</w:t>
      </w:r>
    </w:p>
    <w:p>
      <w:r>
        <w:rPr>
          <w:b/>
          <w:i w:val="0"/>
        </w:rPr>
        <w:t>GRP-01 (HIGH) — Correlated group 'Growth/Consumer-Tech' total weight</w:t>
      </w:r>
    </w:p>
    <w:p>
      <w:r>
        <w:rPr>
          <w:b w:val="0"/>
          <w:i w:val="0"/>
        </w:rPr>
        <w:t>Metric: The size of the single bet that several correlated holdings actually represent.</w:t>
      </w:r>
    </w:p>
    <w:p>
      <w:r>
        <w:rPr>
          <w:b w:val="0"/>
          <w:i w:val="0"/>
        </w:rPr>
        <w:t>How to read it here: This is the cap that tells the truth about diversification. A portfolio can pass every position and sector cap and still breach this one.</w:t>
      </w:r>
    </w:p>
    <w:p>
      <w:r>
        <w:rPr>
          <w:b w:val="0"/>
          <w:i/>
        </w:rPr>
        <w:t>The trap: Correlation is estimated on shared history, so a cluster can be understated when a holding has a short record.</w:t>
      </w:r>
    </w:p>
    <w:p>
      <w:r>
        <w:rPr>
          <w:b w:val="0"/>
          <w:i w:val="0"/>
        </w:rPr>
        <w:t>Do this: Trim the 'Growth/Consumer-Tech' group (ADBE, DIS, DUOL) toward 30.0%; these holdings move together and diversification is overstated.</w:t>
      </w:r>
    </w:p>
    <w:p>
      <w:r>
        <w:rPr>
          <w:b w:val="0"/>
          <w:i w:val="0"/>
        </w:rPr>
        <w:t>Evidence: Group 'Growth/Consumer-Tech' (ADBE, DIS, DUOL) totals 45.0% vs a 30.0% cap.</w:t>
      </w:r>
    </w:p>
    <w:p>
      <w:r>
        <w:rPr>
          <w:b/>
          <w:i w:val="0"/>
        </w:rPr>
        <w:t>MODEL-05 (HIGH) — Monte Carlo vs historical bootstrap disagreement</w:t>
      </w:r>
    </w:p>
    <w:p>
      <w:r>
        <w:rPr>
          <w:b w:val="0"/>
          <w:i w:val="0"/>
        </w:rPr>
        <w:t>Metric: How much the answer depends on which model you believe.</w:t>
      </w:r>
    </w:p>
    <w:p>
      <w:r>
        <w:rPr>
          <w:b w:val="0"/>
          <w:i w:val="0"/>
        </w:rPr>
        <w:t>How to read it here: A large spread is a finding, not noise: it means the assumption set, not the holdings, is driving the answer.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Do this: Report ranges, not point estimates; make reserve/funding decisions using the conservative bootstrap engine.</w:t>
      </w:r>
    </w:p>
    <w:p>
      <w:r>
        <w:rPr>
          <w:b w:val="0"/>
          <w:i w:val="0"/>
        </w:rPr>
        <w:t>Evidence: reserve funded differs by 67.6%.</w:t>
      </w:r>
    </w:p>
    <w:p>
      <w:r>
        <w:rPr>
          <w:b/>
          <w:i w:val="0"/>
        </w:rPr>
        <w:t>RESV-04 (HIGH) — Probability all 10 reserve payments funded</w:t>
      </w:r>
    </w:p>
    <w:p>
      <w:r>
        <w:rPr>
          <w:b w:val="0"/>
          <w:i w:val="0"/>
        </w:rPr>
        <w:t>Metric: Whether the obligation is actually met on time, every time.</w:t>
      </w:r>
    </w:p>
    <w:p>
      <w:r>
        <w:rPr>
          <w:b w:val="0"/>
          <w:i w:val="0"/>
        </w:rPr>
        <w:t>How to read it here: The most decision-relevant number in the report. The bootstrap version is the one to plan against.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Do this: Increase the reserve discount buffer, extend the glide path, or reduce payment size; plan against the conservative engine.</w:t>
      </w:r>
    </w:p>
    <w:p>
      <w:r>
        <w:rPr>
          <w:b w:val="0"/>
          <w:i w:val="0"/>
        </w:rPr>
        <w:t>Evidence: MC 85.8% / bootstrap 18.2% vs a 90.0% planning standard.</w:t>
      </w:r>
    </w:p>
    <w:p>
      <w:pPr>
        <w:pStyle w:val="Heading1"/>
      </w:pPr>
      <w:r>
        <w:t>20. Recommended Actions</w:t>
      </w:r>
    </w:p>
    <w:p>
      <w:pPr>
        <w:pStyle w:val="Heading2"/>
      </w:pPr>
      <w:r>
        <w:t>Immediate (Priority 1-2)</w:t>
      </w:r>
    </w:p>
    <w:p>
      <w:r>
        <w:rPr>
          <w:b w:val="0"/>
          <w:i w:val="0"/>
        </w:rPr>
        <w:t>- Trim the Growth/Consumer-Tech correlated group from 45% toward the 30% cap (e.g., reduce DUOL/ADBE) — model identifies a cap breach; investor should weigh tax and conviction before acting.</w:t>
      </w:r>
    </w:p>
    <w:p>
      <w:r>
        <w:rPr>
          <w:b w:val="0"/>
          <w:i w:val="0"/>
        </w:rPr>
        <w:t>- Size the 2033 reserve using the bootstrap (heavier-tail) distribution, not the Gaussian MC: bootstrap P(funded) = 18.2%.</w:t>
      </w:r>
    </w:p>
    <w:p>
      <w:pPr>
        <w:pStyle w:val="Heading2"/>
      </w:pPr>
      <w:r>
        <w:t>Medium-Term (Priority 3)</w:t>
      </w:r>
    </w:p>
    <w:p>
      <w:r>
        <w:rPr>
          <w:b w:val="0"/>
          <w:i w:val="0"/>
        </w:rPr>
        <w:t>- Add a defensive sleeve (Health Care / Consumer Staples / Utilities) or broad-market value exposure to reduce sector concentration in the equity bucket.</w:t>
      </w:r>
    </w:p>
    <w:p>
      <w:r>
        <w:rPr>
          <w:b w:val="0"/>
          <w:i w:val="0"/>
        </w:rPr>
        <w:t>- Adopt 5pp rebalancing bands with 0.10% cost budget; simulated mean turnover $581,862 per path.</w:t>
      </w:r>
    </w:p>
    <w:p>
      <w:pPr>
        <w:pStyle w:val="Heading2"/>
      </w:pPr>
      <w:r>
        <w:t>2033 Preparation (Priority 2-3)</w:t>
      </w:r>
    </w:p>
    <w:p>
      <w:r>
        <w:rPr>
          <w:b w:val="0"/>
          <w:i w:val="0"/>
        </w:rPr>
        <w:t>- Follow the linear glide path 70% -&gt; 55% equity by 2033; impact table shows modest upside trade-off for materially lower drawdown risk.</w:t>
      </w:r>
    </w:p>
    <w:p>
      <w:r>
        <w:rPr>
          <w:b w:val="0"/>
          <w:i w:val="0"/>
        </w:rPr>
        <w:t>- Report the 2031 sponsor range as a percentile band (p5-p95), not a point estimate.</w:t>
      </w:r>
    </w:p>
    <w:p>
      <w:pPr>
        <w:pStyle w:val="Heading2"/>
      </w:pPr>
      <w:r>
        <w:t>Watchlist (Priority 4)</w:t>
      </w:r>
    </w:p>
    <w:p>
      <w:r>
        <w:rPr>
          <w:b w:val="0"/>
          <w:i w:val="0"/>
        </w:rPr>
        <w:t>- DUOL history length and data confidence; revisit estimates as history accumulates.</w:t>
      </w:r>
    </w:p>
    <w:p>
      <w:r>
        <w:rPr>
          <w:b w:val="0"/>
          <w:i w:val="0"/>
        </w:rPr>
        <w:t>- Model disagreement between engines — rerun quarterly and widen reserve if disagreement grows.</w:t>
      </w:r>
    </w:p>
    <w:p>
      <w:r>
        <w:rPr>
          <w:b w:val="0"/>
          <w:i w:val="0"/>
        </w:rPr>
        <w:t>- Correlation clusters during stress periods (correlations rise in crises).</w:t>
      </w:r>
    </w:p>
    <w:p>
      <w:pPr>
        <w:pStyle w:val="Heading1"/>
      </w:pPr>
      <w:r>
        <w:t>21. Methodology</w:t>
      </w:r>
    </w:p>
    <w:p>
      <w:r>
        <w:rPr>
          <w:b w:val="0"/>
          <w:i w:val="0"/>
        </w:rPr>
        <w:t>- Prices: dividend/split-adjusted daily closes (Yahoo Finance via yfinance), 2000-01-01 to latest available; total-return basis.</w:t>
      </w:r>
    </w:p>
    <w:p>
      <w:r>
        <w:rPr>
          <w:b w:val="0"/>
          <w:i w:val="0"/>
        </w:rPr>
        <w:t>- Portfolio history: current weights held constant, rebalanced monthly (rebalanced-index convention).</w:t>
      </w:r>
    </w:p>
    <w:p>
      <w:r>
        <w:rPr>
          <w:b w:val="0"/>
          <w:i w:val="0"/>
        </w:rPr>
        <w:t>- Monte Carlo: multivariate correlated monthly returns via Cholesky decomposition of covariance; gaussian/lognormal/student-t/historical-residual models selectable.</w:t>
      </w:r>
    </w:p>
    <w:p>
      <w:r>
        <w:rPr>
          <w:b w:val="0"/>
          <w:i w:val="0"/>
        </w:rPr>
        <w:t>- Expected returns/volatilities: spreadsheet assumptions where supplied; otherwise historical estimates with shrinkage. Covariance = historical correlations x assumed volatilities.</w:t>
      </w:r>
    </w:p>
    <w:p>
      <w:r>
        <w:rPr>
          <w:b w:val="0"/>
          <w:i w:val="0"/>
        </w:rPr>
        <w:t>- Markov: 5-state regime model on annual portfolio returns; transition matrix, stationary distribution, within-state bootstrap simulation.</w:t>
      </w:r>
    </w:p>
    <w:p>
      <w:r>
        <w:rPr>
          <w:b w:val="0"/>
          <w:i w:val="0"/>
        </w:rPr>
        <w:t>- Historical bootstrap: block bootstrap (20-trading-day blocks) of real joint daily returns compounded to monthly; no synthetic distributions.</w:t>
      </w:r>
    </w:p>
    <w:p>
      <w:r>
        <w:rPr>
          <w:b w:val="0"/>
          <w:i w:val="0"/>
        </w:rPr>
        <w:t>- Simulation timeline: $300k at 2027 start, $150k at 2028 start, glide path to 2033, reserve split at 2033, ten $50k payments 2033-2042.</w:t>
      </w:r>
    </w:p>
    <w:p>
      <w:r>
        <w:rPr>
          <w:b w:val="0"/>
          <w:i w:val="0"/>
        </w:rPr>
        <w:t>- VaR/CVaR: historical, parametric (normal), and Monte Carlo variants at 95%/99%.</w:t>
      </w:r>
    </w:p>
    <w:p>
      <w:r>
        <w:rPr>
          <w:b w:val="0"/>
          <w:i w:val="0"/>
        </w:rPr>
        <w:t>- Success definitions: terminal &gt; contributions; all reserve payments funded; terminal above inflation-adjusted capital floor.</w:t>
      </w:r>
    </w:p>
    <w:p>
      <w:pPr>
        <w:pStyle w:val="Heading1"/>
      </w:pPr>
      <w:r>
        <w:t>22. Assumptions</w:t>
      </w:r>
    </w:p>
    <w:p>
      <w:r>
        <w:rPr>
          <w:b w:val="0"/>
          <w:i w:val="0"/>
        </w:rPr>
        <w:t>- Contributions: $300,000 at start of 2027 and $150,000 at start of 2028 (user-supplied schedule); total $450,000. No other contributions or withdrawals.</w:t>
      </w:r>
    </w:p>
    <w:p>
      <w:r>
        <w:rPr>
          <w:b w:val="0"/>
          <w:i w:val="0"/>
        </w:rPr>
        <w:t>- Reserve: PV of ten $50,000 payments (2033-2042, start of year) discounted at 2.9%.</w:t>
      </w:r>
    </w:p>
    <w:p>
      <w:r>
        <w:rPr>
          <w:b w:val="0"/>
          <w:i w:val="0"/>
        </w:rPr>
        <w:t>- Risk-free rate 4.1%; cash earns the risk-free rate.</w:t>
      </w:r>
    </w:p>
    <w:p>
      <w:r>
        <w:rPr>
          <w:b w:val="0"/>
          <w:i w:val="0"/>
        </w:rPr>
        <w:t>- Inflation base 2.0% (scenarios 2-5% in sensitivity).</w:t>
      </w:r>
    </w:p>
    <w:p>
      <w:r>
        <w:rPr>
          <w:b w:val="0"/>
          <w:i w:val="0"/>
        </w:rPr>
        <w:t>- Weights supplied; normalized to 100%.</w:t>
      </w:r>
    </w:p>
    <w:p>
      <w:r>
        <w:rPr>
          <w:b w:val="0"/>
          <w:i w:val="0"/>
        </w:rPr>
        <w:t>- Transaction costs 0.10% of turnover (not zero).</w:t>
      </w:r>
    </w:p>
    <w:p>
      <w:r>
        <w:rPr>
          <w:b w:val="0"/>
          <w:i w:val="0"/>
        </w:rPr>
        <w:t>- Taxes excluded: no tax-lot information supplied.</w:t>
      </w:r>
    </w:p>
    <w:p>
      <w:r>
        <w:rPr>
          <w:b w:val="0"/>
          <w:i w:val="0"/>
        </w:rPr>
        <w:t>- Glide path: linear 70% -&gt; 55% equity by 2033 (configurable).</w:t>
      </w:r>
    </w:p>
    <w:p>
      <w:r>
        <w:rPr>
          <w:b w:val="0"/>
          <w:i w:val="0"/>
        </w:rPr>
        <w:t>- Random seed 42; 1,500 simulations per engine.</w:t>
      </w:r>
    </w:p>
    <w:p>
      <w:pPr>
        <w:pStyle w:val="Heading1"/>
      </w:pPr>
      <w:r>
        <w:t>23. Data Limitations</w:t>
      </w:r>
    </w:p>
    <w:p>
      <w:r>
        <w:rPr>
          <w:b w:val="0"/>
          <w:i w:val="0"/>
        </w:rPr>
        <w:t>- Survivorship bias: only current holdings are represented in history.</w:t>
      </w:r>
    </w:p>
    <w:p>
      <w:r>
        <w:rPr>
          <w:b w:val="0"/>
          <w:i w:val="0"/>
        </w:rPr>
        <w:t>- Look-ahead caution: current weights applied to full history is a convention, not a tradable backtest.</w:t>
      </w:r>
    </w:p>
    <w:p>
      <w:r>
        <w:rPr>
          <w:b w:val="0"/>
          <w:i w:val="0"/>
        </w:rPr>
        <w:t>- Low-confidence histories: none.</w:t>
      </w:r>
    </w:p>
    <w:p>
      <w:r>
        <w:rPr>
          <w:b w:val="0"/>
          <w:i w:val="0"/>
        </w:rPr>
        <w:t>- Yahoo Finance data may contain gaps/survivorship issues; corporate actions handled via adjusted prices only.</w:t>
      </w:r>
    </w:p>
    <w:p>
      <w:r>
        <w:rPr>
          <w:b w:val="0"/>
          <w:i w:val="0"/>
        </w:rPr>
        <w:t>- Markov model assumes memoryless regime transitions.</w:t>
      </w:r>
    </w:p>
    <w:p>
      <w:r>
        <w:rPr>
          <w:b w:val="0"/>
          <w:i w:val="0"/>
        </w:rPr>
        <w:t>- No tax-lot data: rebalancing tax impact not estimated.</w:t>
      </w:r>
    </w:p>
    <w:p>
      <w:r>
        <w:rPr>
          <w:b w:val="0"/>
          <w:i w:val="0"/>
        </w:rPr>
        <w:t>- Currency: all holdings assumed USD-denominated (no FX conversion applied).</w:t>
      </w:r>
    </w:p>
    <w:p>
      <w:pPr>
        <w:pStyle w:val="Heading1"/>
      </w:pPr>
      <w:r>
        <w:t>Final Conclusions</w:t>
      </w:r>
    </w:p>
    <w:p>
      <w:pPr>
        <w:pStyle w:val="Heading2"/>
      </w:pPr>
      <w:r>
        <w:t>What is working?</w:t>
      </w:r>
    </w:p>
    <w:p>
      <w:r>
        <w:rPr>
          <w:b w:val="0"/>
          <w:i w:val="0"/>
        </w:rPr>
        <w:t>- Both engines show median 2033 value above invested contributions (MC $660,425, bootstrap $658,344).</w:t>
      </w:r>
    </w:p>
    <w:p>
      <w:r>
        <w:rPr>
          <w:b w:val="0"/>
          <w:i w:val="0"/>
        </w:rPr>
        <w:t>- Bond + cash sleeve (~32.5%) provides a real buffer; glide path further de-risks into 2033.</w:t>
      </w:r>
    </w:p>
    <w:p>
      <w:pPr>
        <w:pStyle w:val="Heading2"/>
      </w:pPr>
      <w:r>
        <w:t>What is fragile?</w:t>
      </w:r>
    </w:p>
    <w:p>
      <w:r>
        <w:rPr>
          <w:b w:val="0"/>
          <w:i w:val="0"/>
        </w:rPr>
        <w:t>- Correlated tech/consumer-tech group concentration (61% in top 3 holdings).</w:t>
      </w:r>
    </w:p>
    <w:p>
      <w:r>
        <w:rPr>
          <w:b w:val="0"/>
          <w:i w:val="0"/>
        </w:rPr>
        <w:t>- Bootstrap downside: p5 2033 value $460,845; reserve funding probability 18.2%.</w:t>
      </w:r>
    </w:p>
    <w:p>
      <w:pPr>
        <w:pStyle w:val="Heading2"/>
      </w:pPr>
      <w:r>
        <w:t>What matters most?</w:t>
      </w:r>
    </w:p>
    <w:p>
      <w:r>
        <w:rPr>
          <w:b w:val="0"/>
          <w:i w:val="0"/>
        </w:rPr>
        <w:t>- 1. Equity expected return (sensitivity grid dominates outcomes).</w:t>
      </w:r>
    </w:p>
    <w:p>
      <w:r>
        <w:rPr>
          <w:b w:val="0"/>
          <w:i w:val="0"/>
        </w:rPr>
        <w:t>- 2. Volatility regime (fragility threshold in sensitivity analysis).</w:t>
      </w:r>
    </w:p>
    <w:p>
      <w:r>
        <w:rPr>
          <w:b w:val="0"/>
          <w:i w:val="0"/>
        </w:rPr>
        <w:t>- 3. Reserve discount rate and payment schedule.</w:t>
      </w:r>
    </w:p>
    <w:p>
      <w:r>
        <w:rPr>
          <w:b w:val="0"/>
          <w:i w:val="0"/>
        </w:rPr>
        <w:t>- 4. Correlated-group sizing (largest controllable risk).</w:t>
      </w:r>
    </w:p>
    <w:p>
      <w:r>
        <w:rPr>
          <w:b w:val="0"/>
          <w:i w:val="0"/>
        </w:rPr>
        <w:t>- 5. Glide-path aggressiveness into 2033.</w:t>
      </w:r>
    </w:p>
    <w:p>
      <w:pPr>
        <w:pStyle w:val="Heading2"/>
      </w:pPr>
      <w:r>
        <w:t>What should be changed?</w:t>
      </w:r>
    </w:p>
    <w:p>
      <w:r>
        <w:rPr>
          <w:b w:val="0"/>
          <w:i w:val="0"/>
        </w:rPr>
        <w:t>- Trim correlated group to cap; size reserve from bootstrap percentiles; adopt glide path and bands.</w:t>
      </w:r>
    </w:p>
    <w:p>
      <w:pPr>
        <w:pStyle w:val="Heading2"/>
      </w:pPr>
      <w:r>
        <w:t>What should be monitored?</w:t>
      </w:r>
    </w:p>
    <w:p>
      <w:r>
        <w:rPr>
          <w:b w:val="0"/>
          <w:i w:val="0"/>
        </w:rPr>
        <w:t>- Band breaches, drawdown vs 20% review trigger, model disagreement magnitude, DUOL data confidence.</w:t>
      </w:r>
    </w:p>
    <w:p>
      <w:pPr>
        <w:pStyle w:val="Heading1"/>
      </w:pPr>
      <w:r>
        <w:t>Monitoring Checklist</w:t>
      </w:r>
    </w:p>
    <w:p>
      <w:r>
        <w:rPr>
          <w:b w:val="0"/>
          <w:i w:val="0"/>
        </w:rPr>
        <w:t>- [ ] Portfolio value &amp; allocation drift vs targets</w:t>
      </w:r>
    </w:p>
    <w:p>
      <w:r>
        <w:rPr>
          <w:b w:val="0"/>
          <w:i w:val="0"/>
        </w:rPr>
        <w:t>- [ ] Sector weights vs bands</w:t>
      </w:r>
    </w:p>
    <w:p>
      <w:r>
        <w:rPr>
          <w:b w:val="0"/>
          <w:i w:val="0"/>
        </w:rPr>
        <w:t>- [ ] Correlation clusters (&gt;0.70 pairs)</w:t>
      </w:r>
    </w:p>
    <w:p>
      <w:r>
        <w:rPr>
          <w:b w:val="0"/>
          <w:i w:val="0"/>
        </w:rPr>
        <w:t>- [ ] VaR/CVaR monthly</w:t>
      </w:r>
    </w:p>
    <w:p>
      <w:r>
        <w:rPr>
          <w:b w:val="0"/>
          <w:i w:val="0"/>
        </w:rPr>
        <w:t>- [ ] Max drawdown vs 20% review trigger</w:t>
      </w:r>
    </w:p>
    <w:p>
      <w:r>
        <w:rPr>
          <w:b w:val="0"/>
          <w:i w:val="0"/>
        </w:rPr>
        <w:t>- [ ] Glide-path position vs 2033 target</w:t>
      </w:r>
    </w:p>
    <w:p>
      <w:r>
        <w:rPr>
          <w:b w:val="0"/>
          <w:i w:val="0"/>
        </w:rPr>
        <w:t>- [ ] Rebalancing band breaches</w:t>
      </w:r>
    </w:p>
    <w:p>
      <w:r>
        <w:rPr>
          <w:b w:val="0"/>
          <w:i w:val="0"/>
        </w:rPr>
        <w:t>- [ ] Simulation success probabilities (rerun quarterly)</w:t>
      </w:r>
    </w:p>
    <w:p>
      <w:r>
        <w:rPr>
          <w:b w:val="0"/>
          <w:i w:val="0"/>
        </w:rPr>
        <w:t>- [ ] Thesis status per holding</w:t>
      </w:r>
    </w:p>
    <w:p>
      <w:r>
        <w:rPr>
          <w:b w:val="0"/>
          <w:i w:val="0"/>
        </w:rPr>
        <w:t>- [ ] DUOL history length / data confidence</w:t>
      </w:r>
    </w:p>
    <w:p>
      <w:r>
        <w:br w:type="page"/>
      </w:r>
    </w:p>
    <w:p>
      <w:pPr>
        <w:pStyle w:val="Heading1"/>
      </w:pPr>
      <w:r>
        <w:t>Appendix A. Metric Definitions</w:t>
      </w:r>
    </w:p>
    <w:p>
      <w:r>
        <w:rPr>
          <w:b w:val="0"/>
          <w:i/>
        </w:rPr>
        <w:t>Generated from portfolio_model/src/metric_glossary.py — the same source as the workbook Definitions sheet and the web UI Definitions tab. The 'Trap' column is the way this metric is most often misread.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what_it_is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how_to_read_it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Weights 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Which input column was used: explicit portfolio weights, market value / total, or quantity x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it says 'supplied weights', the analysis is about the allocation you wrote down. If it says 'derived from market value', it reflects your actual positions today.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Weights are renormalised to 100%. If your weights summed to 92%, everything is scaled up by 8.7% silently.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return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Spreadsheet 'Expected Return' column when present and expected_returns.source = input; otherwise the historical mean compounded to a year, shrunk toward the cross-asset mean by expected_returns.shrinkage.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influential number in the whole report. A 1pp change moves the median 2033 outcome by roughly the horizon length in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an assumption, not a forecast. The engines are not predicting; they are answering 'what follows from these assumptions'.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20% annual volatility means roughly two-thirds of months land within +/-5.8% of the average month. It measures dispersion, not the chance of losing money.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from a short history (see confidence) is unreliable, and it treats upside and downside moves identically.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Risk-free 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risk.risk_free_rate; also used as the return earned by the CASH holding every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 is never modelled as 0% return; it earns this rate. Raising it raises cash-heavy portfolios.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Sharpe here divides raw return by volatility (no risk-free subtraction), so it is a risk-adjusted *ratio*, not the textbook excess-return Sharpe.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Inflation 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risk.inflation_base, applied to convert nominal capital into 'real capital' for floor tests.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 success is always lower than nominal success. The gap between the two is the cost of ignoring inflation.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are nominal; only the success thresholds are inflation-adjusted. The model does not deflate the return series.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CAGR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(final index value / first index value)^(1 / years) - 1, on the rebalanced current-weight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smoothed average of what this allocation actually did. Compare it with the simulated median to see whether your assumptions are optimistic or conservative.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path-dependent and start-date dependent. It also assumes today's weights had been held the whole time (rebalanced index), which is a hypothetical, not your real account.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Mean annual return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(1 + average monthly return)^12 - 1.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Higher than CAGR whenever returns were volatile, because volatility drags compounding 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minus CAGR is roughly the volatility drag: never quote the mean as if it were achievable growth.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(historical, 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portfolio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Roughly 1 in 6 months lands outside +/-1 annual-volatility/3.6 of the average month.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volatility is not the weighted average of holding volatilities; correlation is what makes it lower.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annual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Above ~0.6 for a stock/bond portfolio is respectable; below ~0.25 means the extra return is not paying for the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risk-free subtraction here, and it is computed on history. Two portfolios with the same Sharpe can have completely different drawdown shapes.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downside deviation (std of negative months only, x sqrt(12)).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Sortino &gt; Sharpe whenever upside is large. A big gap means the volatility is mostly good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 negative months the downside deviation is noisy and Sortino looks flattering.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Downside deviation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negative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number that maps to how the portfolio actually feels to 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Counts only months below zero, so it ignores how *often* you lose.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Minimum of (value / running peak - 1) on the rebalanced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realistic test of whether you could have held. -35% is survivable for a long horizon; -60% usually is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One event defines it. It says nothing about how long the recovery took (see the recovery table) and nothing about drawdowns that started after the trough.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Drawdown peak / trough / recovery dates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the running peak before the worst trough, the trough date, and the first date the index exceeded the peak again.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Depth plus time-underwater is the real pain. A -30% drawdown recovered in 6 months is a different risk from one that took 4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blank recovery means the index had not recovered by the end of the data - not that it never will.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Days to recover (drawdown events)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 days from each trough (deeper than -5%) back to zero drawdown.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 recoveries are the argument for the glide path into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Events shallower than -5% are not listed, so the table understates small-but-frequent pain.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(pairwise, monthly)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Pearson correlation of monthly returns between two holdings over the full history.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+0.9 means they are effectively the same position split in two. Below +0.4 they genuinely diversify. Negative correlation is a hedge.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history and rises toward 1.0 exactly when you need it not to.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cluster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grouping of holdings joined by correlation above the 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cluster of four names at 20% each is a 80% single-bet portfolio wearing four labels.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can chain A-B and B-C into one cluster even when A-C correlation is modest.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HHI (concentration index)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squared weights. Normalised version: (HHI - 1/n) / (1 - 1/n).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HHI 0.25 means the concentration of an equal-weighted 4-holding portfolio. Normalised HHI 0 = perfectly spread, 1 = all in one name.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HHI sees position size only. Two 25% positions in perfectly correlated names look the same as two independent names.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 number of independent bets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HHI, where HHI is the sum of squared weights over all holdings with weight &gt; 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 holdings with effective_n 3.4 is a three-bet portfolio. This is the most honest diversification number in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measures weight concentration, not correlation-adjusted independence, so it is an upper bound on real diversification.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Top 3 / 5 / 10 weight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the largest three, five and ten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Top 3 above 60% means three decisions dominate the outcome, whatever the rest of the sheet says.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fewer than 3 holdings the top-3 figure is simply 100%.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Invested capital /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cashflows.contributions amounts (default 2027: $300,000, 2028: $150,000).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'success' number is measured against this figure, so changing it changes all probabilities.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Contributions are invested at the current glide-path target weights at that month, not at today's holdings weights.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Required reserve (present value)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Payment x [1 - (1+r)^-n] / r x (1+r) for n = last_year - first_year + 1 payments at rate = reserve_discount_rate (annuity-due).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hard obligation the 2033 split must cover. Everything above it is the facility contribution.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present value, not cash you must hold. A reserve exactly equal to it only works if the reserve keeps earning that rate.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2033 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start of the glide-end year: reserve = min(value, required_reserve); facility = value - required_reserve.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negative facility means the portfolio cannot cover the reserve at 2033 - the core failure mode of the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split is a modelling convention (one clean cut), not a legal or tax event.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Facility contribution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value at 2033 minus required reserve,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Its 5th percentile is the number to plan against; its median is the number to hope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values are real outcomes, not errors - they are the shortfall cases.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Glide path targets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Year-by-year equity/bond/cash targets from glide_path.method between start_equity and end_equity.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equity share each year is what the simulation rebalances toward; it is the model's main risk control.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Glide path changes risk, not expected return much. Its value shows up in drawdown and reserve-funding probabilities, not in the median.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Rebalancing band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Absolute: target +/- band percentage points. Relative: target x (1 +/- relative_band).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Tight bands mean more trades and more transaction cost; loose bands mean the glide path is advisory only.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Bands are tested on asset *class* weights at month end, not on individual holdings.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Turnover / rebalances (mean)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over time of absolute weight changes per simulation; mean across simulations.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turnover with tiny benefit means the band is too tight.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Turnover is not a cost. The cost is turnover x transaction_cost, already netted out of values.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value at the end of the growth phase (month before the glide-end year),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distribution, not the average: p5 is the planning case, p50 the expected case, p95 the lucky case.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measured *before* the 2033-2042 payments are made, so it is not the money you end with.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50th percentile of simulated 2033 values.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headline number. Compare it across engines - if Monte Carlo and bootstrap disagree by more than 25%, the distribution shape is doing the work.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is not mean. With fat tails the mean is higher than the median, and the median is the safer one to quote.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percentiles (p5 ... p95)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the simulated 2033 value distribution.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p5 is the case you must survive; p95 is the case you must not plan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from 10,000 simulations are stable to roughly +/-0.5pp in probability terms, not to the dollar.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Success: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total contributions (nominal).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92% sounds safe, but it is a nominal test against a 2027-28 figure.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Growing money in nominal terms while losing purchasing power still counts as success here.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 above real capital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contributions x (1 + inflation)^(years to 2033).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honest success number. The gap to the nominal version is the inflation tax.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one inflation assumption; the scenario rows show the sensitivity.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Capital-floor probabilities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terminal value &gt;= floor x inflation-adjusted contributions, for floors 100%, 90%, 80%, 70%.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ladder, not a verdict: 95% chance of keeping 80% of real capital is a very different claim from 95% chance of keeping all of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Floors are relative to contributions, not to the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all reserve payments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reserve balance never goes below zero at any of the 10 payment dates.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decision-relevant number in the report. The bootstrap version is the one to plan against.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requires the reserve to be intact at each payment date; a simulation that ends solvent but was empty in 2037 still fails.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the facility gets nothing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&lt;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values mean the reserve is eating the whole portfolio by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Markov reports it as 1 - P(facility negative) in the comparison table; check the label before comparing rows.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of capital depletion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2033 value is essentially zero.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near zero for a diversified stock/bond/cash mix. If it is not, the return assumptions or the model choice are extreme.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Zero here means the model's distribution produced a catastrophic path; real total loss also comes from forced selling, which is not modelled.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(growth phase)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Deepest peak-to-trough fall in each simulated path before the 2033 split; reported as a median and as probabilities of exceeding 10/20/30/40%.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max drawdown is the typical experience; P(&gt;20%) is the trigger for a portfolio review.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Measured on the growth phase only. Reserve-phase drawdowns are deliberately excluded because that money is already earmarked.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CAGR (Monte Carlo)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(median terminal / total contributions)^(1 / years to 2033)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bridge between the simulation and an intuitive rate. Compare it with historical CAGR to see how aggressive the assumptions are.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contributions as the base, so a mid-period contribution drags it below the portfolio's own return.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2031 sponsor checkpoint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portfolio value at the start of 2031, and of value minus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projected-facility p5 at 2031 is the earliest honest signal that the reserve is at risk.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snapshot, not a promise; two more years of market risk remain after it.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Monte Carlo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 returns drawn from a parametric distribution (gaussian | lognormal | student_t | historical_residual) with the estimated mean vector and covariance, then run through the shared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Smooth, symmetric (unless Student-t), and only as good as the mean/covariance you fed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Gaussian Monte Carlo systematically understates crash frequency. Never use it alone for a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Student-t simulation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Same covariance, with each month scaled by sqrt(dof / chi-square(dof)); dof = simulation.student_t_dof.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Lower p5, higher CVaR, lower reserve-funding probability than gaussian - and closer to how markets actually behave.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Fat tails also raise the variance of the estimate; you need more simulations for stable percentiles.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bootstrap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Each simulation concatenates contiguous blocks of real historical joint daily returns (block bootstrap, block_size_days) covering the horizon, compounded to months, then run through the same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reality check. It carries real crashes and real correlation behaviour, so it is usually the more conservative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invent a crisis that never happened in the sample, and it inherits the sample's survivorship.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 size (bootstrap)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Length of each contiguous historical window drawn (config bootstrap.block_size_days).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 trading days keeps a month of momentum together; 1 day (iid) shuffles good and bad days apart and understates runs of bad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Larger blocks reduce the number of distinct combinations, so very large blocks make results lumpier.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Markov regime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calendar-year portfolio returns are bucketed into 5 states by the configured thresholds; a 5x5 transition matrix is estimated from year-to-year moves; simulations draw state sequences and then a real return from the matching state.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answers 'how likely is a bad stretch' better than it answers 'what is the terminal value'.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Estimated from roughly 25 annual observations. Each transition probability has a wide confidence interval, and unobserved states are assumed to persist.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Regime states and thresholds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severe_bear &lt; -20%, bear -20% to -5%, neutral -5% to +5%, bull +5% to +20%, strong_bull &gt; +20% of annual portfolio return (config markov.thresholds).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portfolio-level -5% year is already 'bear' because the thresholds apply to the whole portfolio, not to the S&amp;P.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Thresholds are absolute, so a conservative bond-heavy portfolio may never leave 'neutral'.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Transition matrix 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P[i][j] = share of historical years in state i that were followed by a year in state j.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high diagonal means regimes persist - bad years come in runs.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Rows built from one or two observations are not probabilities, they are anecdotes; the engine marks unobserved rows as persistent.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Stationary distribution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Long-run share of years in each state implied by P (left eigenvector at 1).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the stationary bear share is 25%, expect roughly one year in four to be a bear year over a long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assumes the process is stable forever, which no market is.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regime duration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(1 - P[state][state]).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2.5-year expected bear duration means a bad stretch is likely to span more than one planning year.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duration says nothing about the worst case; runs can be far longer.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P(bear at any point 2027-2032)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where at least one growth-phase year lands in bear or severe_bear.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high. It is a near-certainty statement, which is why it should not be used as an alarm by itself.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'At least one bear year' is a low bar; 60% here does not mean 60% chance of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P(bull by 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whose final growth-phase year is bull or strong_bull.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Arriving in a bull year is favourable for the split, but it says nothing about the path taken to get there.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bull final year is compatible with a -35% drawdown in 2029.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(value at risk)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Historical: -quantile(returns, 1 - confidence). Parametric: -(mean + z x std). Monte Carlo: -quantile of simulated terminal return vs contributions.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 95% = 4% means 19 months in 20 lose less than 4%; it says nothing about how bad the 20th month 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 convention: VaR is reported as a positive loss. A 'VaR 95% = 0.04' means a 4% loss, not a 4% gain; a NEGATIVE VaR means the 5th-percentile outcome is itself a gain. Historical, parametric and Monte Carlo VaR are computed on different horizons and bases - never compare them directly.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/ expected shortfall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of the mean of returns at or beyond the VaR quantile.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CVaR is the number that should size a reserve. If CVaR95 is 30%, the worst 5% of outcomes lose a third on average.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Horizon warning (VaR rows)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Risk-sheet VaR/CVaR rows are one-month horizon; comparison-table VaR/CVaR rows are 2033 terminal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4% monthly VaR and a 30% terminal VaR are consistent, not contradictory.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common misreading in the workbook.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Sensitivity grid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(return shift, volatility multiplier) pair, re-run the simulation and record median terminal, p5, success probability, reserve-funding probability, median drawdown, VaR/CVaR.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 the base cell (shift 0, multiplier 1.0), then walk outward. A plan whose success collapses one row away is fragile.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 shifts are applied to every asset equally; it is a systematic shock, not a single-name change.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Minimum return shift for 90%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Smallest return shift in the grid where success probability is still at or above 90%.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-2% means the plan survives 2pp lower returns everywhere. A value near 0 means no margin at all.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found at the grid's coarse 1pp steps.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Fragile volatility 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base return assumption, the smallest volatility multiplier &gt;= 1.0 where success falls below 75%.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 means a 10% increase in volatility breaks the plan; 1.5 means it is robust to a 50% volatility regime shift.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is scaled, not returns: it widens the distribution without changing the average.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proxy (sensitivity grid)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/ standard deviation of the simulated annualised terminal outcomes in that grid cell.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rank cells against each other; do not compare it with the historical Sharpe on the dashboard.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computed on terminal outcomes over the whole horizon, so it is not annual return over annual volatility.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crisis replay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the actual daily returns of your holdings during a configured window (2008, 2020, 2022) to current weights and report portfolio return, worst holding, sector contributions and benchmark comparison.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persuasive evidence in the report because it uses no assumptions at all - only what happened.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static snapshot: no rebalancing, no glide path, no contributions during the window. Holdings that did not exist then are excluded.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Hypothetical scenario shocks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configured asset-class/sector shocks (severe equity crash, stagflation, recession, inflation shock) to current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test whether the defensive sleeve actually defends. A stagflation scenario that loses 25% means it does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Shocks are applied once, instantaneously, to today's weights. There is no recovery and no management response.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Stop-loss backtest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holding: hold, exit at the close that breaches a hard (vs entry) or trailing (vs running peak) stop, re-enter after 21 trading days; compare CAGR, volatility, Sharpe, Sortino, max drawdown, exits, turnover and missed upside against buy-and-hold.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stop that cuts max drawdown a lot while giving up little CAGR is worth considering. One that cuts CAGR materially is a drag.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backtest on adjusted prices with a fixed 21-day re-entry. It is not advice, and it ignores taxes, slippage and the behavioural value of a stop.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Missed upside (stop backtest)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buy-and-hold returns minus sum of stopped-path returns over the same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 means the stop cost you return; negative means the stop helped.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cumulative arithmetic difference, not an annualised figure.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Suggested allocation (max-Sharpe diagnostic)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SLSQP optimisation of expected return / volatility subject to weights summing to 1, per-position cap, cash floor and correlated-group caps.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*differences* column, not the levels: it shows which positions the assumptions want bigger or smaller.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Optimisers amplify estimation error: a suggested weight is only as good as the expected-return input, and small input changes can move weights a lot.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Rule flag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Deterministic comparison of a calculated value against a configured threshold. Each flag carries id, severity, metric, current value, threshold, rule text, action and evidence.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ladder: CRITICAL &gt; HIGH &gt; WARNING &gt; MONITOR &gt; INFO. HIGH means the number breaches a planning standard; MONITOR means watch it; INFO is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flag is a threshold breach, not a forecast. No AI or judgement is involved, and no flag fires without a configured rule.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 ladder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WARNING, MONITOR, INFO (rules/rule_engine.py SEVERITY_ORDER).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= a configured planning standard is breached (position cap, reserve funding, tail loss, model disagreement). WARNING = a band or limit is out of tolerance. MONITOR = a data or governance weakness. INFO =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is about the rule, not about the size of the loss.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Estimate confidence (High / Medium / Low)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if &gt;=10 years of monthly history, Medium if &gt;=2, Low otherwise.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Low-confidence holding contributes numbers that look precise but are not. Its simulation weight is built on a guess.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History length is not the same as stability: 25 years of a regime that has since ended is still misleading.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 provenance (source / as-of)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 ticker: cache hit, network download, or committed bundled snapshot, with rows, inception date and data-as-of date.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Two runs with different provenance can differ. 'bundled snapshot' means the analysis used the committed offline dataset, not live prices.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Offline reproducibility and live freshness are different goals; the report states which one it used.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Return basis (adjusted close)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prices are dividend- and split-adjusted closes, i.e. total-return series.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bond ETFs and dividend payers this materially raises measured return versus raw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Comparing these results to a price-index chart will make the model look too optimistic.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Survivorship bias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series only contain securities that still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historical return figure here is mildly flattering.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be corrected by the model; it can only be acknowledged.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P&amp;L basis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Dollar P&amp;L is computed only when cost basis is supplied; otherwise return-based attribution is used.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Without cost basis there are no dollar gains and losses in the report, only percentage returns.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never invents a cost basis. Missing data is reported as missing.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Taxes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Excluded unless tax-lot information is supplied.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Rebalancing suggestions ignore tax cost, so a 'trim the winner' recommendation is more expensive in reality than in the model.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Transaction cost is modelled (0.1% of turnover); tax is not modelled at all.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Scorecard / overall 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 scores (0-10) for funding, concentration, diversification, data quality and process, combined into an overall score.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find which category to open first. It is deliberately not the conclusion of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weighted judgement encoded in code; changing weights changes the score, not the portfolio.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Position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risk.max_position_weight in the config, compared against each holding's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breach says one company, not one sector, can move the whole plan. The severity follows how far past the cap it sits.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Passing the cap test says nothing about correlated groups: several legal positions can be one economic bet.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Sector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risk.max_sector_weight in the config, compared against each sector total.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caps catch concentration that position caps miss, because it aggregates several compliant holdings.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labels come from a lookup table; an unmapped ticker lands in a catch-all sector and can hide real concentration.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Correlated group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risk.max_correlated_group_weight in the config, compared against the total weight of holdings whose correlation exceeds risk.correlation_threshold.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cap that tells the truth about diversification. A portfolio can pass every position and sector cap and still breach this one.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shared history, so a cluster can be understated when a holding has a short record.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Cash floor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risk.min_cash_weight in the config, compared against the cash-like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Below the floor, the first payment or the first drawdown has to be funded by selling something at whatever price is available.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Cash-like means excluded from simulation, so its return is zero in every scenario - it buys safety, not yield.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Engine disagreement spread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Relative difference between the Monte Carlo and historical bootstrap values of the same metric.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large spread is a finding, not noise: it means the assumption set, not the holdings, is driving the answer.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engines answer different questions, so some spread is expected. Only a spread in a decision-relevant metric matters.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Thesis coverage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 of holdings with no stated investment thesis in the input.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missing thesis is not a risk estimate, it is a governance gap: it means nobody wrote down why the position should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cannot judge whether a thesis is good, only whether one is recorded.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