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21:25 UTC | Seed 42 | 1,500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six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Model Comparison;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Monte Carlo; Section 9 Historical 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2 Portfolio Overview;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15 Sensitivity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16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$674,244, bootstrap $679,084,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$421,535, bootstrap $452,196.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99.1%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1,500 sims, seed 42, monthly steps, correlated multivariate returns, glide path + 5pp bands + 0.10% transaction cost). Median 2033 value $674,244; P(terminal &gt; $450k) = 92.4%; P(all 10 reserve payments funded) = 84.3%; P(&gt;20% drawdown) = 27.7%. Required reserve $441,127; median facility contribution $233,116.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1,500 sims). Median 2033 value $679,084; P(terminal &gt; $450k) = 95.3%; P(all payments funded) = 18.0%; P(&gt;20% drawdown) = 19.1%.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421,535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452,196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574,701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834,769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810,838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91.8%. Minimum return shift for &gt;=90% success: -3%.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18.0%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18.0%.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$477,200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1,500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$674,244, bootstrap $679,084).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$452,196; reserve funding probability 18.0%.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