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00:37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400 simulated outcomes of the 2033 value: p5=$421,303, p25=$551,145, p50=$661,245, p75=$803,380, p95=$1,108,291 = $661,245</w:t>
      </w:r>
    </w:p>
    <w:p>
      <w:r>
        <w:rPr>
          <w:b w:val="0"/>
          <w:i w:val="0"/>
        </w:rPr>
        <w:t>What it means for this portfolio: The median is $661,245, but half the runs land below it. Against contributions of $450,000, the 5th percentile is $421,303 -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371 of 400 Monte Carlo paths end above $450,000 = 92.8%</w:t>
      </w:r>
    </w:p>
    <w:p>
      <w:r>
        <w:rPr>
          <w:b w:val="0"/>
          <w:i w:val="0"/>
        </w:rPr>
        <w:t>What it means for this portfolio: Nominal success looks comfortable at 92.8%. Compare it with the bootstrap figure of 93.2%,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342 of 400 paths fund all 10 payments; bootstrap: 59 of 400 = 85.5% / 14.8%</w:t>
      </w:r>
    </w:p>
    <w:p>
      <w:r>
        <w:rPr>
          <w:b w:val="0"/>
          <w:i w:val="0"/>
        </w:rPr>
        <w:t>What it means for this portfolio: This is the decision metric, and the two engines disagree: 85.5% against 14.8%.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12.0% of invested capital = 12.0%</w:t>
      </w:r>
    </w:p>
    <w:p>
      <w:r>
        <w:rPr>
          <w:b w:val="0"/>
          <w:i w:val="0"/>
        </w:rPr>
        <w:t>What it means for this portfolio: In the bad tail the average outcome is a loss of 12.0%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-17.1% and the worst 5% of paths reach -27.7% = -27.7%</w:t>
      </w:r>
    </w:p>
    <w:p>
      <w:r>
        <w:rPr>
          <w:b w:val="0"/>
          <w:i w:val="0"/>
        </w:rPr>
        <w:t>What it means for this portfolio: In the unlucky 5% of paths the portfolio falls 27.7%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55.0% = 55.0%</w:t>
      </w:r>
    </w:p>
    <w:p>
      <w:r>
        <w:rPr>
          <w:b w:val="0"/>
          <w:i w:val="0"/>
        </w:rPr>
        <w:t>What it means for this portfolio: Equity moves from 70.0% to 55.0%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85.5% vs bootstrap 14.8% = a 70.8% spread = 70.8%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MODEL-06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70.8%.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RESV-05 — Probability all 10 reserve payments funded</w:t>
      </w:r>
    </w:p>
    <w:p>
      <w:r>
        <w:rPr>
          <w:b w:val="0"/>
          <w:i w:val="0"/>
        </w:rPr>
        <w:t>Calculation: measured 0.1475 against threshold 0.9000 = HIGH</w:t>
      </w:r>
    </w:p>
    <w:p>
      <w:r>
        <w:rPr>
          <w:b w:val="0"/>
          <w:i w:val="0"/>
        </w:rPr>
        <w:t>What it means for this portfolio: MC 85.5% / bootstrap 14.8%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