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23:19 UTC | Seed 42 | 1,500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$674,244, bootstrap $679,084,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$421,535, bootstrap $452,196.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99.1%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1,500 sims, seed 42, monthly steps, correlated multivariate returns, glide path + 5pp bands + 0.10% transaction cost). Median 2033 value $674,244; P(terminal &gt; $450k) = 92.4%; P(all 10 reserve payments funded) = 84.3%; P(&gt;20% drawdown) = 27.7%. Required reserve $441,127; median facility contribution $233,116.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1,500 sims). Median 2033 value $679,084; P(terminal &gt; $450k) = 95.3%; P(all payments funded) = 18.0%; P(&gt;20% drawdown) = 19.1%.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421,535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452,196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834,769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810,838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18.0%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66.3%.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84.3% / bootstrap 18.0%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18.0%.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$477,200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1,500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$674,244, bootstrap $679,084).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$452,196; reserve funding probability 18.0%.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