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21:44 UTC | Seed 42 | 2,000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six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Model Comparison;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Monte Carlo; Section 9 Historical 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2 Portfolio Overview;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15 Sensitivity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16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8 holdings; equity 48%, bonds 31%, cash 21%. Historical CAGR 6.7%, volatility 6.1%, max drawdown -15.9%.</w:t>
      </w:r>
    </w:p>
    <w:p>
      <w:r>
        <w:rPr>
          <w:b w:val="0"/>
          <w:i w:val="0"/>
        </w:rPr>
        <w:t>What is expected? Simulated median 2033 value: Monte Carlo $641,362, bootstrap $649,454, Markov $649,410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$470,538, bootstrap $505,728. CVaR95 (bootstrap terminal): -6%.</w:t>
      </w:r>
    </w:p>
    <w:p>
      <w:r>
        <w:rPr>
          <w:b w:val="0"/>
          <w:i w:val="0"/>
        </w:rPr>
        <w:t>Biggest concentration: correlated group Growth/Consumer-Tech (ADBE+DIS+DUOL) at 14% vs 30% cap; largest single holding VOO at 30%.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949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4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8 holdings; total invested contributions $450,000 (2027-2028); weights supplied; equity 48%, bonds 31%, cash 21%.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21.0%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Energy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31.3%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21.0%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49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4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 subscription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Reserve buffer for the 2033 payments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Media/IP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Edtech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Duration ballast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Near-term liquidity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anchor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Energy / inflation hedge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6.73%, mean annual return 6.64%, volatility 6.12%, Sharpe 1.08, Sortino 1.63, max drawdown -15.86% (peak 2021-11-08 00:00:00, trough 2022-09-30 00:00:00, recovery 2023-11-14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53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3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-15.9%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108.5%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162.6%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516.2%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-5.8%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89.6%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99.9%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8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30.0%; top-3 70.0%; HHI 0.194 (effective bets 5.2 of 8 holdings). Correlation groups: Growth/Consumer-Tech: 14%.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2,000 sims, seed 42, monthly steps, correlated multivariate returns, glide path + 5pp bands + 0.10% transaction cost). Median 2033 value $641,362; P(terminal &gt; $450k) = 96.9%; P(all 10 reserve payments funded) = 59.0%; P(&gt;20% drawdown) = 2.5%. Required reserve $441,127; median facility contribution $200,235.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bull. P(bear next year) 3.8%; P(bear at any point 2027-2032) 23.9%. Stationary distribution: severe_bear=1.00, bear=0.00, neutral=0.00, bull=0.00, strong_bull=0.00.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71.4%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5.9%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29.4%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64.7%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2,000 sims). Median 2033 value $649,454; P(terminal &gt; $450k) = 99.1%; P(all payments funded) = 41.4%; P(&gt;20% drawdown) = 1.6%.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641,362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649,410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649,454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470,538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522,297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505,728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562,154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593,843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591,414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641,362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649,410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649,454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730,298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710,688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727,068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873,787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807,408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850,205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0.997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0.590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0.998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0.414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-0.077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-0.124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0.041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96.4%. Minimum return shift for &gt;=90% success: -3%.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2009-06-02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-0.026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-14.8%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-14.2%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2022-09-30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2023-07-12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XOM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-17.5%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-10.8%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Energy: 4.0% of portfolio, 1 holding(s) (XOM); 12m return 52.0%, contribution 2.08%.</w:t>
      </w:r>
    </w:p>
    <w:p>
      <w:r>
        <w:rPr>
          <w:b w:val="0"/>
          <w:i w:val="0"/>
        </w:rPr>
        <w:t>Information Technology: 9.3% of portfolio, 2 holding(s) (ADBE, DUOL); 12m return -32.4%, contribution -3.01%.</w:t>
      </w:r>
    </w:p>
    <w:p>
      <w:r>
        <w:rPr>
          <w:b w:val="0"/>
          <w:i w:val="0"/>
        </w:rPr>
        <w:t>Communication Services: 4.4% of portfolio, 1 holding(s) (DIS); 12m return -2.7%, contribution -0.12%.</w:t>
      </w:r>
    </w:p>
    <w:p>
      <w:r>
        <w:rPr>
          <w:b w:val="0"/>
          <w:i w:val="0"/>
        </w:rPr>
        <w:t>Broad Market (ETF): 30.0% of portfolio, 1 holding(s) (VOO); 12m return 15.4%, contribution 4.63%.</w:t>
      </w:r>
    </w:p>
    <w:p>
      <w:r>
        <w:rPr>
          <w:b w:val="0"/>
          <w:i w:val="0"/>
        </w:rPr>
        <w:t>Bonds: 31.3% of portfolio, 2 holding(s) (IEF, SHY); 12m return -1.9%, contribution -0.59%.</w:t>
      </w:r>
    </w:p>
    <w:p>
      <w:r>
        <w:rPr>
          <w:b w:val="0"/>
          <w:i w:val="0"/>
        </w:rPr>
        <w:t>Cash: 21.0% of portfolio, 1 holding(s) (CASH); 12m return 3.9%, contribution 0.82%.</w:t>
      </w:r>
    </w:p>
    <w:p>
      <w:r>
        <w:drawing>
          <wp:inline xmlns:a="http://schemas.openxmlformats.org/drawingml/2006/main" xmlns:pic="http://schemas.openxmlformats.org/drawingml/2006/picture">
            <wp:extent cx="5669280" cy="32361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6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52.7%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26.3%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36.3%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21.0%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21.0%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26.0%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Holding VOO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636,465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476,549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59.9%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-0.059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0.020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640,950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471,610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59.8%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-0.099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-0.048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0.034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639,373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473,456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59.8%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0.029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661,442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454,032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59.3%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-0.128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-0.009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0.089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30.0%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(14%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CVaR95 -6% vs Gaussian MC 4% — real history has fatter tails than the parametric model.</w:t>
      </w:r>
    </w:p>
    <w:p>
      <w:r>
        <w:rPr>
          <w:b w:val="0"/>
          <w:i w:val="0"/>
        </w:rPr>
        <w:t>- Reserve funding risk: P(all 10 payments funded) = 59.0% (MC) / 41.4%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POS-01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VOO position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Single holding weight &gt; configured maximum position weight (25.0%)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Reduce VOO toward the 25.0% cap; stage the trim to manage tax impact.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REBAL-06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Holding VOO weight vs glide-path target band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Class weight outside target band [0.0%, 25.0%]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Rebalance Holding VOO by 5.0% of portfolio toward the 25.0% target.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THESIS-05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Governance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Holdings without a stated investment thesis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Any holding with a missing/short thesis is a governance risk flag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Document an investment thesis for DIS so thesis-break trim rules can be enforced.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14%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41.4%.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$281,338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2,000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$641,362, bootstrap $649,454).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(70% in top 3 holdings).</w:t>
      </w:r>
    </w:p>
    <w:p>
      <w:r>
        <w:rPr>
          <w:b w:val="0"/>
          <w:i w:val="0"/>
        </w:rPr>
        <w:t>- Bootstrap downside: p5 2033 value $505,728; reserve funding probability 41.4%.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