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2026-10-12 01:07 UTC | Seed 42 | 800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$670,245, bootstrap $674,106,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$417,890, bootstrap $448,312. CVaR95 (bootstrap terminal): 9%.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75.0%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98.8%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800 sims, seed 42, monthly steps, correlated multivariate returns, glide path + 5pp bands + 0.10% transaction cost). Median 2033 value $670,245; P(terminal &gt; $450k) = 92.0%; P(all 10 reserve payments funded) = 85.1%; P(&gt;20% drawdown) = 27.4%. Required reserve $441,127; median facility contribution $229,118.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800 sims). Median 2033 value $674,106; P(terminal &gt; $450k) = 94.9%; P(all payments funded) = 16.6%;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670,245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674,106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417,890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448,312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556,651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569,821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670,245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674,106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825,948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799,396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1,127,619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1,065,059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0.225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9%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85.1% (MC) / 16.6%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68.5%.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85.1% / bootstrap 16.6%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16.6%.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$470,249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800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$670,245, bootstrap $674,106).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$448,312; reserve funding probability 16.6%.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p>
      <w:r>
        <w:br w:type="page"/>
      </w:r>
    </w:p>
    <w:p>
      <w:pPr>
        <w:pStyle w:val="Heading1"/>
      </w:pPr>
      <w:r>
        <w:t>Appendix B. Worked Examples From This Portfolio</w:t>
      </w:r>
    </w:p>
    <w:p>
      <w:r>
        <w:rPr>
          <w:b w:val="0"/>
          <w:i/>
        </w:rPr>
        <w:t>Each headline metric below is recomputed from this run's own results. Nothing here is generated commentary: the numbers are the numbers the engines produced.</w:t>
      </w:r>
    </w:p>
    <w:p>
      <w:r>
        <w:rPr>
          <w:b/>
          <w:i w:val="0"/>
        </w:rPr>
        <w:t>Weights source</w:t>
      </w:r>
    </w:p>
    <w:p>
      <w:r>
        <w:rPr>
          <w:b w:val="0"/>
          <w:i w:val="0"/>
        </w:rPr>
        <w:t>Calculation: 7 holdings: ADBE 22.0%, CASH 12.5%, DIS 9.5%, DUOL 13.5%, IEF 4.3%, SHY 13.2%, VOO 25.0% = supplied</w:t>
      </w:r>
    </w:p>
    <w:p>
      <w:r>
        <w:rPr>
          <w:b w:val="0"/>
          <w:i w:val="0"/>
        </w:rPr>
        <w:t>What it means for this portfolio: These weights are what every simulation starts from. Total invested contributions are $450,000, and the plan's obligation is $441,127.</w:t>
      </w:r>
    </w:p>
    <w:p>
      <w:r>
        <w:rPr>
          <w:b w:val="0"/>
          <w:i/>
        </w:rPr>
        <w:t>The trap: Weights are renormalised to 100%. If your weights summed to 92%, everything is scaled up by 8.7% silently.</w:t>
      </w:r>
    </w:p>
    <w:p>
      <w:r>
        <w:rPr>
          <w:b w:val="0"/>
          <w:i w:val="0"/>
        </w:rPr>
        <w:t>What to do: If the source is not what you intended, fix the spreadsheet column rather than the model.</w:t>
      </w:r>
    </w:p>
    <w:p>
      <w:r>
        <w:rPr>
          <w:b/>
          <w:i w:val="0"/>
        </w:rPr>
        <w:t>HHI (concentration index)</w:t>
      </w:r>
    </w:p>
    <w:p>
      <w:r>
        <w:rPr>
          <w:b w:val="0"/>
          <w:i w:val="0"/>
        </w:rPr>
        <w:t>Calculation: 0.220² + 0.125² + 0.095² + 0.135² + 0.043² + 0.132² + 0.250² = 0.1731 = 0.1731</w:t>
      </w:r>
    </w:p>
    <w:p>
      <w:r>
        <w:rPr>
          <w:b w:val="0"/>
          <w:i w:val="0"/>
        </w:rPr>
        <w:t>What it means for this portfolio: With 7 holdings, a perfectly even portfolio would give 0.1429. Yours is 0.1731, so the concentration is real rather than nominal.</w:t>
      </w:r>
    </w:p>
    <w:p>
      <w:r>
        <w:rPr>
          <w:b w:val="0"/>
          <w:i/>
        </w:rPr>
        <w:t>The trap: HHI sees position size only. Two 25% positions in perfectly correlated names look the same as two independent names.</w:t>
      </w:r>
    </w:p>
    <w:p>
      <w:r>
        <w:rPr>
          <w:b w:val="0"/>
          <w:i w:val="0"/>
        </w:rPr>
        <w:t>What to do: Use it to argue concentration quantitatively instead of saying 'it feels concentrated'.</w:t>
      </w:r>
    </w:p>
    <w:p>
      <w:r>
        <w:rPr>
          <w:b/>
          <w:i w:val="0"/>
        </w:rPr>
        <w:t>Effective number of independent bets</w:t>
      </w:r>
    </w:p>
    <w:p>
      <w:r>
        <w:rPr>
          <w:b w:val="0"/>
          <w:i w:val="0"/>
        </w:rPr>
        <w:t>Calculation: 1 / 0.0353 = 5.78 = 5.78</w:t>
      </w:r>
    </w:p>
    <w:p>
      <w:r>
        <w:rPr>
          <w:b w:val="0"/>
          <w:i w:val="0"/>
        </w:rPr>
        <w:t>What it means for this portfolio: You hold 7 positions but they behave like 5.78 independent bets. That is the number the funding probabilities are really built on.</w:t>
      </w:r>
    </w:p>
    <w:p>
      <w:r>
        <w:rPr>
          <w:b w:val="0"/>
          <w:i/>
        </w:rPr>
        <w:t>The trap: It measures weight concentration, not correlation-adjusted independence, so it is an upper bound on real diversification.</w:t>
      </w:r>
    </w:p>
    <w:p>
      <w:r>
        <w:rPr>
          <w:b w:val="0"/>
          <w:i w:val="0"/>
        </w:rPr>
        <w:t>What to do: The rule engine flags it when effective_n falls below 60% of the holding count.</w:t>
      </w:r>
    </w:p>
    <w:p>
      <w:r>
        <w:rPr>
          <w:b/>
          <w:i w:val="0"/>
        </w:rPr>
        <w:t>Top 3 / 5 / 10 weight</w:t>
      </w:r>
    </w:p>
    <w:p>
      <w:r>
        <w:rPr>
          <w:b w:val="0"/>
          <w:i w:val="0"/>
        </w:rPr>
        <w:t>Calculation: largest VOO 25.0%; top 3 = 60.5% of the portfolio = 60.5%</w:t>
      </w:r>
    </w:p>
    <w:p>
      <w:r>
        <w:rPr>
          <w:b w:val="0"/>
          <w:i w:val="0"/>
        </w:rPr>
        <w:t>What it means for this portfolio: Three positions carry 60.5% of the plan. If any one of them halves, the whole terminal value moves by roughly a third of that weight.</w:t>
      </w:r>
    </w:p>
    <w:p>
      <w:r>
        <w:rPr>
          <w:b w:val="0"/>
          <w:i/>
        </w:rPr>
        <w:t>The trap: With fewer than 3 holdings the top-3 figure is simply 100%.</w:t>
      </w:r>
    </w:p>
    <w:p>
      <w:r>
        <w:rPr>
          <w:b w:val="0"/>
          <w:i w:val="0"/>
        </w:rPr>
        <w:t>What to do: Compare against max_position_weight and max_sector_weight.</w:t>
      </w:r>
    </w:p>
    <w:p>
      <w:r>
        <w:rPr>
          <w:b/>
          <w:i w:val="0"/>
        </w:rPr>
        <w:t>Correlation cluster</w:t>
      </w:r>
    </w:p>
    <w:p>
      <w:r>
        <w:rPr>
          <w:b w:val="0"/>
          <w:i w:val="0"/>
        </w:rPr>
        <w:t>Calculation: IEF, SHY move together (mean correlation 0.78) and carry 17.5% together = 17.5%</w:t>
      </w:r>
    </w:p>
    <w:p>
      <w:r>
        <w:rPr>
          <w:b w:val="0"/>
          <w:i w:val="0"/>
        </w:rPr>
        <w:t>What it means for this portfolio: Those 2 holdings are one bet. Treat their combined weight as a single exposure when you compare it to the 30.0% group cap.</w:t>
      </w:r>
    </w:p>
    <w:p>
      <w:r>
        <w:rPr>
          <w:b w:val="0"/>
          <w:i/>
        </w:rPr>
        <w:t>The trap: Single-linkage can chain A-B and B-C into one cluster even when A-C correlation is modest.</w:t>
      </w:r>
    </w:p>
    <w:p>
      <w:r>
        <w:rPr>
          <w:b w:val="0"/>
          <w:i w:val="0"/>
        </w:rPr>
        <w:t>What to do: Apply the correlated-group cap to the cluster, not to each member.</w:t>
      </w:r>
    </w:p>
    <w:p>
      <w:r>
        <w:rPr>
          <w:b/>
          <w:i w:val="0"/>
        </w:rPr>
        <w:t>Required reserve (present value)</w:t>
      </w:r>
    </w:p>
    <w:p>
      <w:r>
        <w:rPr>
          <w:b w:val="0"/>
          <w:i w:val="0"/>
        </w:rPr>
        <w:t>Calculation: $50,000/(1+0.029)^0 + $50,000/(1+0.029)^1 + $50,000/(1+0.029)^2 + $50,000/(1+0.029)^3 + $50,000/(1+0.029)^4 + $50,000/(1+0.029)^5 + $50,000/(1+0.029)^6 + $50,000/(1+0.029)^7 + $50,000/(1+0.029)^8 + $50,000/(1+0.029)^9 … = $441,127 = $441,127</w:t>
      </w:r>
    </w:p>
    <w:p>
      <w:r>
        <w:rPr>
          <w:b w:val="0"/>
          <w:i w:val="0"/>
        </w:rPr>
        <w:t>What it means for this portfolio: 10 payments of $50,000 from 2033 to 2042, discounted at 2.9%, must be standing still in 2033. Everything above that is facility surplus.</w:t>
      </w:r>
    </w:p>
    <w:p>
      <w:r>
        <w:rPr>
          <w:b w:val="0"/>
          <w:i/>
        </w:rPr>
        <w:t>The trap: It is a present value, not cash you must hold. A reserve exactly equal to it only works if the reserve keeps earning that rate.</w:t>
      </w:r>
    </w:p>
    <w:p>
      <w:r>
        <w:rPr>
          <w:b w:val="0"/>
          <w:i w:val="0"/>
        </w:rPr>
        <w:t>What to do: If the discount rate is wrong, the obligation is wrong: 2.9% here, so test 2% and 4% before committing.</w:t>
      </w:r>
    </w:p>
    <w:p>
      <w:r>
        <w:rPr>
          <w:b/>
          <w:i w:val="0"/>
        </w:rPr>
        <w:t>Terminal percentiles (p5 ... p95)</w:t>
      </w:r>
    </w:p>
    <w:p>
      <w:r>
        <w:rPr>
          <w:b w:val="0"/>
          <w:i w:val="0"/>
        </w:rPr>
        <w:t>Calculation: 800 simulated outcomes of the 2033 value: p5=$417,890, p25=$556,651, p50=$670,245, p75=$825,948, p95=$1,127,619 = $670,245</w:t>
      </w:r>
    </w:p>
    <w:p>
      <w:r>
        <w:rPr>
          <w:b w:val="0"/>
          <w:i w:val="0"/>
        </w:rPr>
        <w:t>What it means for this portfolio: The median is $670,245, but half the runs land below it. Against contributions of $450,000, the 5th percentile is $417,890 - that is the number the reserve decision should be sized from.</w:t>
      </w:r>
    </w:p>
    <w:p>
      <w:r>
        <w:rPr>
          <w:b w:val="0"/>
          <w:i/>
        </w:rPr>
        <w:t>The trap: Percentiles from 10,000 simulations are stable to roughly +/-0.5pp in probability terms, not to the dollar.</w:t>
      </w:r>
    </w:p>
    <w:p>
      <w:r>
        <w:rPr>
          <w:b w:val="0"/>
          <w:i w:val="0"/>
        </w:rPr>
        <w:t>What to do: Fund obligations from p5-p10, plan spending from p50.</w:t>
      </w:r>
    </w:p>
    <w:p>
      <w:r>
        <w:rPr>
          <w:b/>
          <w:i w:val="0"/>
        </w:rPr>
        <w:t>Success: terminal &gt; contributions</w:t>
      </w:r>
    </w:p>
    <w:p>
      <w:r>
        <w:rPr>
          <w:b w:val="0"/>
          <w:i w:val="0"/>
        </w:rPr>
        <w:t>Calculation: 736 of 800 Monte Carlo paths end above $450,000 = 92.0%</w:t>
      </w:r>
    </w:p>
    <w:p>
      <w:r>
        <w:rPr>
          <w:b w:val="0"/>
          <w:i w:val="0"/>
        </w:rPr>
        <w:t>What it means for this portfolio: Nominal success looks comfortable at 92.0%. Compare it with the bootstrap figure of 94.9%, which only uses sequences that actually happened.</w:t>
      </w:r>
    </w:p>
    <w:p>
      <w:r>
        <w:rPr>
          <w:b w:val="0"/>
          <w:i/>
        </w:rPr>
        <w:t>The trap: Growing money in nominal terms while losing purchasing power still counts as success here.</w:t>
      </w:r>
    </w:p>
    <w:p>
      <w:r>
        <w:rPr>
          <w:b w:val="0"/>
          <w:i w:val="0"/>
        </w:rPr>
        <w:t>What to do: Always read it next to prob_terminal_gt_real_start.</w:t>
      </w:r>
    </w:p>
    <w:p>
      <w:r>
        <w:rPr>
          <w:b/>
          <w:i w:val="0"/>
        </w:rPr>
        <w:t>Probability all reserve payments funded</w:t>
      </w:r>
    </w:p>
    <w:p>
      <w:r>
        <w:rPr>
          <w:b w:val="0"/>
          <w:i w:val="0"/>
        </w:rPr>
        <w:t>Calculation: Monte Carlo: 681 of 800 paths fund all 10 payments; bootstrap: 133 of 800 = 85.1% / 16.6%</w:t>
      </w:r>
    </w:p>
    <w:p>
      <w:r>
        <w:rPr>
          <w:b w:val="0"/>
          <w:i w:val="0"/>
        </w:rPr>
        <w:t>What it means for this portfolio: This is the decision metric, and the two engines disagree: 85.1% against 16.6%. Plan against the lower one.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Below the 90% rule threshold the engine raises a HIGH funding flag: extend the glide path, raise the buffer, or shrink payments.</w:t>
      </w:r>
    </w:p>
    <w:p>
      <w:r>
        <w:rPr>
          <w:b/>
          <w:i w:val="0"/>
        </w:rPr>
        <w:t>CVaR / expected shortfall</w:t>
      </w:r>
    </w:p>
    <w:p>
      <w:r>
        <w:rPr>
          <w:b w:val="0"/>
          <w:i w:val="0"/>
        </w:rPr>
        <w:t>Calculation: average of the worst 5% of bootstrap outcomes = 9.2% of invested capital = 9.2%</w:t>
      </w:r>
    </w:p>
    <w:p>
      <w:r>
        <w:rPr>
          <w:b w:val="0"/>
          <w:i w:val="0"/>
        </w:rPr>
        <w:t>What it means for this portfolio: In the bad tail the average outcome is a loss of 9.2%</w:t>
      </w:r>
    </w:p>
    <w:p>
      <w:r>
        <w:rPr>
          <w:b w:val="0"/>
          <w:i/>
        </w:rPr>
        <w:t>The trap: 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</w:r>
    </w:p>
    <w:p>
      <w:r>
        <w:rPr>
          <w:b w:val="0"/>
          <w:i w:val="0"/>
        </w:rPr>
        <w:t>What to do: The rule engine raises a HIGH tail flag above 30% terminal CVaR95.</w:t>
      </w:r>
    </w:p>
    <w:p>
      <w:r>
        <w:rPr>
          <w:b/>
          <w:i w:val="0"/>
        </w:rPr>
        <w:t>Max drawdown (growth phase)</w:t>
      </w:r>
    </w:p>
    <w:p>
      <w:r>
        <w:rPr>
          <w:b w:val="0"/>
          <w:i w:val="0"/>
        </w:rPr>
        <w:t>Calculation: across the simulations the median worst peak-to-trough is -16.7% and the worst 5% of paths reach -28.0% = -28.0%</w:t>
      </w:r>
    </w:p>
    <w:p>
      <w:r>
        <w:rPr>
          <w:b w:val="0"/>
          <w:i w:val="0"/>
        </w:rPr>
        <w:t>What it means for this portfolio: In the unlucky 5% of paths the portfolio falls 28.0% from its peak before the glide end, against a configured review trigger of 20%.</w:t>
      </w:r>
    </w:p>
    <w:p>
      <w:r>
        <w:rPr>
          <w:b w:val="0"/>
          <w:i/>
        </w:rPr>
        <w:t>The trap: Measured on the growth phase only. Reserve-phase drawdowns are deliberately excluded because that money is already earmarked.</w:t>
      </w:r>
    </w:p>
    <w:p>
      <w:r>
        <w:rPr>
          <w:b w:val="0"/>
          <w:i w:val="0"/>
        </w:rPr>
        <w:t>What to do: Above the 25% review trigger the engine raises a drawdown flag.</w:t>
      </w:r>
    </w:p>
    <w:p>
      <w:r>
        <w:rPr>
          <w:b/>
          <w:i w:val="0"/>
        </w:rPr>
        <w:t>Glide path targets</w:t>
      </w:r>
    </w:p>
    <w:p>
      <w:r>
        <w:rPr>
          <w:b w:val="0"/>
          <w:i w:val="0"/>
        </w:rPr>
        <w:t>Calculation: 2027: equity 70.0% → 2033: equity 55.0% = 55.0%</w:t>
      </w:r>
    </w:p>
    <w:p>
      <w:r>
        <w:rPr>
          <w:b w:val="0"/>
          <w:i w:val="0"/>
        </w:rPr>
        <w:t>What it means for this portfolio: Equity moves from 70.0% to 55.0% across the plan - this schedule de-risks only if the end target is below the start weight. The simulations follow it mechanically, so changing the 2033 equity target changes every funding probability.</w:t>
      </w:r>
    </w:p>
    <w:p>
      <w:r>
        <w:rPr>
          <w:b w:val="0"/>
          <w:i/>
        </w:rPr>
        <w:t>The trap: Glide path changes risk, not expected return much. Its value shows up in drawdown and reserve-funding probabilities, not in the median.</w:t>
      </w:r>
    </w:p>
    <w:p>
      <w:r>
        <w:rPr>
          <w:b w:val="0"/>
          <w:i w:val="0"/>
        </w:rPr>
        <w:t>What to do: Compare the glide variants table: it re-runs the simulation with no glide path, linear, accelerating and custom.</w:t>
      </w:r>
    </w:p>
    <w:p>
      <w:r>
        <w:rPr>
          <w:b/>
          <w:i w:val="0"/>
        </w:rPr>
        <w:t>Rebalancing band</w:t>
      </w:r>
    </w:p>
    <w:p>
      <w:r>
        <w:rPr>
          <w:b w:val="0"/>
          <w:i w:val="0"/>
        </w:rPr>
        <w:t>Calculation: 0 of 3 classes sit outside the ±5.0% band = 0</w:t>
      </w:r>
    </w:p>
    <w:p>
      <w:r>
        <w:rPr>
          <w:b w:val="0"/>
          <w:i w:val="0"/>
        </w:rPr>
        <w:t>What it means for this portfolio: With a 5.0% band and 0.1% transaction cost, 0 classes are currently outside the band.</w:t>
      </w:r>
    </w:p>
    <w:p>
      <w:r>
        <w:rPr>
          <w:b w:val="0"/>
          <w:i/>
        </w:rPr>
        <w:t>The trap: Bands are tested on asset *class* weights at month end, not on individual holdings.</w:t>
      </w:r>
    </w:p>
    <w:p>
      <w:r>
        <w:rPr>
          <w:b w:val="0"/>
          <w:i w:val="0"/>
        </w:rPr>
        <w:t>What to do: Check mean_turnover and mean_rebalances to see what the band actually costs.</w:t>
      </w:r>
    </w:p>
    <w:p>
      <w:r>
        <w:rPr>
          <w:b/>
          <w:i w:val="0"/>
        </w:rPr>
        <w:t>Engine disagreement spread</w:t>
      </w:r>
    </w:p>
    <w:p>
      <w:r>
        <w:rPr>
          <w:b w:val="0"/>
          <w:i w:val="0"/>
        </w:rPr>
        <w:t>Calculation: reserve funding: Monte Carlo 85.1% vs bootstrap 16.6% = a 68.5% spread = 68.5%</w:t>
      </w:r>
    </w:p>
    <w:p>
      <w:r>
        <w:rPr>
          <w:b w:val="0"/>
          <w:i w:val="0"/>
        </w:rPr>
        <w:t>What it means for this portfolio: The engines disagree more than any single holding's weight. That is a statement about the assumptions, not about the portfolio.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 rather than point estimates, and decide on the more conservative engine.</w:t>
      </w:r>
    </w:p>
    <w:p>
      <w:r>
        <w:rPr>
          <w:b/>
          <w:i w:val="0"/>
        </w:rPr>
        <w:t>P(bear at any point 2027-2032)</w:t>
      </w:r>
    </w:p>
    <w:p>
      <w:r>
        <w:rPr>
          <w:b w:val="0"/>
          <w:i w:val="0"/>
        </w:rPr>
        <w:t>Calculation: the regime model puts 61.5% probability on at least one bear year between 2027 and 2032 = 61.5%</w:t>
      </w:r>
    </w:p>
    <w:p>
      <w:r>
        <w:rPr>
          <w:b w:val="0"/>
          <w:i w:val="0"/>
        </w:rPr>
        <w:t>What it means for this portfolio: This is not a loss estimate; it is the chance that the plan has to absorb a bad year somewhere in the glide, which is what makes the drawdown numbers worth reading.</w:t>
      </w:r>
    </w:p>
    <w:p>
      <w:r>
        <w:rPr>
          <w:b w:val="0"/>
          <w:i/>
        </w:rPr>
        <w:t>The trap: 'At least one bear year' is a low bar; 60% here does not mean 60% chance of failure.</w:t>
      </w:r>
    </w:p>
    <w:p>
      <w:r>
        <w:rPr>
          <w:b w:val="0"/>
          <w:i w:val="0"/>
        </w:rPr>
        <w:t>What to do: Pair it with expected duration and terminal percentiles, not with the headline.</w:t>
      </w:r>
    </w:p>
    <w:p>
      <w:r>
        <w:rPr>
          <w:b/>
          <w:i w:val="0"/>
        </w:rPr>
        <w:t>Data provenance (source / as-of)</w:t>
      </w:r>
    </w:p>
    <w:p>
      <w:r>
        <w:rPr>
          <w:b w:val="0"/>
          <w:i w:val="0"/>
        </w:rPr>
        <w:t>Calculation: prices resolved from: cache (8); earliest as-of 2026-10-09 = cache</w:t>
      </w:r>
    </w:p>
    <w:p>
      <w:r>
        <w:rPr>
          <w:b w:val="0"/>
          <w:i w:val="0"/>
        </w:rPr>
        <w:t>What it means for this portfolio: Two runs of the same portfolio disagree most often because of data vintage, not mathematics. This is the vintage this run used.</w:t>
      </w:r>
    </w:p>
    <w:p>
      <w:r>
        <w:rPr>
          <w:b w:val="0"/>
          <w:i/>
        </w:rPr>
        <w:t>The trap: Offline reproducibility and live freshness are different goals; the report states which one it used.</w:t>
      </w:r>
    </w:p>
    <w:p>
      <w:r>
        <w:rPr>
          <w:b w:val="0"/>
          <w:i w:val="0"/>
        </w:rPr>
        <w:t>What to do: Refresh with `python scripts/build_offline_dataset.py` when you need current prices, or run with --offline for a reproducible result.</w:t>
      </w:r>
    </w:p>
    <w:p>
      <w:r>
        <w:rPr>
          <w:b/>
          <w:i w:val="0"/>
        </w:rPr>
        <w:t>GRP-01 — Correlated group 'Growth/Consumer-Tech' total weight</w:t>
      </w:r>
    </w:p>
    <w:p>
      <w:r>
        <w:rPr>
          <w:b w:val="0"/>
          <w:i w:val="0"/>
        </w:rPr>
        <w:t>Calculation: measured 0.4500 against threshold 0.3000 = HIGH</w:t>
      </w:r>
    </w:p>
    <w:p>
      <w:r>
        <w:rPr>
          <w:b w:val="0"/>
          <w:i w:val="0"/>
        </w:rPr>
        <w:t>What it means for this portfolio: Group 'Growth/Consumer-Tech' (ADBE, DIS, DUOL) totals 45.0% vs a 30.0% cap.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What to do: Trim the 'Growth/Consumer-Tech' group (ADBE, DIS, DUOL) toward 30.0%; these holdings move together and diversification is overstated.</w:t>
      </w:r>
    </w:p>
    <w:p>
      <w:r>
        <w:rPr>
          <w:b/>
          <w:i w:val="0"/>
        </w:rPr>
        <w:t>MODEL-06 — Monte Carlo vs historical bootstrap disagreement</w:t>
      </w:r>
    </w:p>
    <w:p>
      <w:r>
        <w:rPr>
          <w:b w:val="0"/>
          <w:i w:val="0"/>
        </w:rPr>
        <w:t>Calculation: measured 1.0000 against threshold 1.0000 = HIGH</w:t>
      </w:r>
    </w:p>
    <w:p>
      <w:r>
        <w:rPr>
          <w:b w:val="0"/>
          <w:i w:val="0"/>
        </w:rPr>
        <w:t>What it means for this portfolio: reserve funded differs by 68.5%.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ranges, not point estimates; make reserve/funding decisions using the conservative bootstrap engine.</w:t>
      </w:r>
    </w:p>
    <w:p>
      <w:r>
        <w:rPr>
          <w:b/>
          <w:i w:val="0"/>
        </w:rPr>
        <w:t>RESV-05 — Probability all 10 reserve payments funded</w:t>
      </w:r>
    </w:p>
    <w:p>
      <w:r>
        <w:rPr>
          <w:b w:val="0"/>
          <w:i w:val="0"/>
        </w:rPr>
        <w:t>Calculation: measured 0.1663 against threshold 0.9000 = HIGH</w:t>
      </w:r>
    </w:p>
    <w:p>
      <w:r>
        <w:rPr>
          <w:b w:val="0"/>
          <w:i w:val="0"/>
        </w:rPr>
        <w:t>What it means for this portfolio: MC 85.1% / bootstrap 16.6% vs a 90.0% planning standard.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Increase the reserve discount buffer, extend the glide path, or reduce payment size; plan against the conservative engine.</w:t>
      </w:r>
    </w:p>
    <w:p>
      <w:r>
        <w:br w:type="page"/>
      </w:r>
    </w:p>
    <w:p>
      <w:pPr>
        <w:pStyle w:val="Heading1"/>
      </w:pPr>
      <w:r>
        <w:t>Appendix C. Position-by-Position Guide</w:t>
      </w:r>
    </w:p>
    <w:p>
      <w:r>
        <w:rPr>
          <w:b w:val="0"/>
          <w:i/>
        </w:rPr>
        <w:t>What each holding contributes, how much of the plan it carries, and the specific thing to watch about it. Every value is this run's own measurement.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volatility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contribution_12m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confidence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history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what_to_watch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Core exposure at 22% of the plan with 28% annual volatility.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28.0%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-6.3%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6733 rows from 2000-01-03 to 2026-10-09 (cache)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Within 20% of the position cap (22.0% vs 25.0%); any drift puts it in breach.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Buffer: excluded from the simulations, so it earns nothing in any scenario and is there only to fund the first payments without selling.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not a market series (cash-like or excluded)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12.5% of the plan in Cash, inside every cap and not part of a correlated cluster.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Core exposure at 9% of the plan with 30% annual volatility.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30.0%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-0.3%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6733 rows from 2000-01-03 to 2026-10-09 (cache)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9.5% of the plan in US Equity, inside every cap and not part of a correlated cluster.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High-volatility engine: 40% annual volatility drives most of the spread in the terminal distribution.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40.0%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-6.0%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1307 rows from 2021-07-28 to 2026-10-09 (cache)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13.5% of the plan in US Equity, inside every cap and not part of a correlated cluster.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Stabiliser: low volatility, so its job is to shorten drawdowns rather than add return.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-0.2%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6089 rows from 2002-07-30 to 2026-10-09 (cache)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Part of one bet with IEF, SHY: mean correlation 0.78, combined weight 17.5%, which is within the 30.0% group cap.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Stabiliser: low volatility, so its job is to shorten drawdowns rather than add return.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6089 rows from 2002-07-30 to 2026-10-09 (cache)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Part of one bet with IEF, SHY: mean correlation 0.78, combined weight 17.5%, which is within the 30.0% group cap.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Core exposure at 25% of the plan with 15% annual volatility.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15.0%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3.9%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4046 rows from 2010-09-09 to 2026-10-09 (cache)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Within 20% of the position cap (25.0% vs 25.0%); any drift puts it in breach.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