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22:05 UTC | Seed 42 | 1,200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six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Model Comparison; Section 11 Risk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Monte Carlo; Section 9 Historical Bootstrap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2 Portfolio Overview; Section 11 Risk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15 Sensitivity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16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$673,128, bootstrap $678,312,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$420,621, bootstrap $451,196. CVaR95 (bootstrap terminal): 8%.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-0.3%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28.2%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88.3%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65.2%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68.9%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98.9%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1,200 sims, seed 42, monthly steps, correlated multivariate returns, glide path + 5pp bands + 0.10% transaction cost). Median 2033 value $673,128; P(terminal &gt; $450k) = 92.0%; P(all 10 reserve payments funded) = 84.7%; P(&gt;20% drawdown) = 28.2%. Required reserve $441,127; median facility contribution $232,001.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1,200 sims). Median 2033 value $678,312; P(terminal &gt; $450k) = 95.2%; P(all payments funded) = 17.5%; P(&gt;20% drawdown) = 19.5%.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673,128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678,312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420,621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451,196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555,310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574,536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673,128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678,312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829,833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801,273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1,127,619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1,064,630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0.282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0.197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8% vs Gaussian MC 16% — real history has fatter tails than the parametric model.</w:t>
      </w:r>
    </w:p>
    <w:p>
      <w:r>
        <w:rPr>
          <w:b w:val="0"/>
          <w:i w:val="0"/>
        </w:rPr>
        <w:t>- Reserve funding risk: P(all 10 payments funded) = 84.7% (MC) / 17.5%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0.175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0.282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17.5%.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$473,877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1,200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$673,128, bootstrap $678,312).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$451,196; reserve funding probability 17.5%.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