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CA9A7" w14:textId="3F821A55" w:rsidR="008E03DB" w:rsidRDefault="008E03DB" w:rsidP="008E03DB">
      <w:pPr>
        <w:pStyle w:val="Heading1"/>
        <w:numPr>
          <w:ilvl w:val="0"/>
          <w:numId w:val="0"/>
        </w:numPr>
        <w:ind w:left="431" w:hanging="431"/>
      </w:pPr>
      <w:r>
        <w:t>Low Carbon Portfolio – Fixed Income analysis</w:t>
      </w:r>
    </w:p>
    <w:p w14:paraId="7D390379" w14:textId="7012961A" w:rsidR="00F850D9" w:rsidRDefault="00F850D9" w:rsidP="00F850D9">
      <w:r w:rsidRPr="005044B6">
        <w:rPr>
          <w:b/>
        </w:rPr>
        <w:t>We propose to use Altman Z-scores to model the credit risk impacts of the low-carbon transition.</w:t>
      </w:r>
      <w:r w:rsidR="00B46DFE">
        <w:t xml:space="preserve"> This will be accomplished by assessing the impact of </w:t>
      </w:r>
      <w:r w:rsidR="005044B6">
        <w:t>modelled changes in revenues, cost and profit flows on company Z-scores</w:t>
      </w:r>
      <w:r w:rsidR="00A77EB9">
        <w:t>, under each low-carbon transition scenario (e.g. 2</w:t>
      </w:r>
      <w:r w:rsidR="00A77EB9">
        <w:rPr>
          <w:rFonts w:ascii="Times New Roman" w:hAnsi="Times New Roman" w:cs="Times New Roman"/>
        </w:rPr>
        <w:t>°</w:t>
      </w:r>
      <w:r w:rsidR="00A77EB9">
        <w:t>C 2020 Action)</w:t>
      </w:r>
      <w:r w:rsidR="005044B6">
        <w:t>.</w:t>
      </w:r>
      <w:r>
        <w:t xml:space="preserve"> </w:t>
      </w:r>
      <w:r w:rsidR="005044B6">
        <w:t xml:space="preserve">The </w:t>
      </w:r>
      <w:r w:rsidR="00BD0AAF">
        <w:t xml:space="preserve">approach builds upon the economic system and value stream modelling already </w:t>
      </w:r>
      <w:r w:rsidR="00DF3356">
        <w:t xml:space="preserve">completed </w:t>
      </w:r>
      <w:r w:rsidR="00BD0AAF">
        <w:t xml:space="preserve">as part of the </w:t>
      </w:r>
      <w:r w:rsidR="00DF3356">
        <w:t>equity analysis</w:t>
      </w:r>
      <w:r w:rsidR="00B46DFE">
        <w:t>.</w:t>
      </w:r>
      <w:r w:rsidR="00DF3356">
        <w:t xml:space="preserve"> </w:t>
      </w:r>
      <w:r w:rsidR="007979D8">
        <w:t>This note consists of 3 sections:</w:t>
      </w:r>
    </w:p>
    <w:p w14:paraId="73B77138" w14:textId="1415544A" w:rsidR="007979D8" w:rsidRDefault="0039337C" w:rsidP="0039337C">
      <w:pPr>
        <w:pStyle w:val="ListParagraph"/>
        <w:numPr>
          <w:ilvl w:val="0"/>
          <w:numId w:val="21"/>
        </w:numPr>
      </w:pPr>
      <w:r>
        <w:t xml:space="preserve">Section </w:t>
      </w:r>
      <w:r>
        <w:fldChar w:fldCharType="begin"/>
      </w:r>
      <w:r>
        <w:instrText xml:space="preserve"> REF _Ref529182886 \r \h </w:instrText>
      </w:r>
      <w:r>
        <w:fldChar w:fldCharType="separate"/>
      </w:r>
      <w:r>
        <w:t>1.1.1</w:t>
      </w:r>
      <w:r>
        <w:fldChar w:fldCharType="end"/>
      </w:r>
      <w:r>
        <w:t xml:space="preserve">: </w:t>
      </w:r>
      <w:r w:rsidR="005044B6">
        <w:t>methodology overview</w:t>
      </w:r>
    </w:p>
    <w:p w14:paraId="4D2E3C9C" w14:textId="114F63A4" w:rsidR="0039337C" w:rsidRDefault="0039337C" w:rsidP="0039337C">
      <w:pPr>
        <w:pStyle w:val="ListParagraph"/>
        <w:numPr>
          <w:ilvl w:val="0"/>
          <w:numId w:val="21"/>
        </w:numPr>
      </w:pPr>
      <w:r>
        <w:t xml:space="preserve">Section </w:t>
      </w:r>
      <w:r w:rsidR="00540113">
        <w:fldChar w:fldCharType="begin"/>
      </w:r>
      <w:r w:rsidR="00540113">
        <w:instrText xml:space="preserve"> REF _Ref529192709 \r \h </w:instrText>
      </w:r>
      <w:r w:rsidR="00540113">
        <w:fldChar w:fldCharType="separate"/>
      </w:r>
      <w:r w:rsidR="00540113">
        <w:t>1.1.2</w:t>
      </w:r>
      <w:r w:rsidR="00540113">
        <w:fldChar w:fldCharType="end"/>
      </w:r>
      <w:r>
        <w:t xml:space="preserve">: </w:t>
      </w:r>
      <w:r w:rsidR="00477587">
        <w:t xml:space="preserve">description of </w:t>
      </w:r>
      <w:r w:rsidR="00117EA7">
        <w:t xml:space="preserve">analytical </w:t>
      </w:r>
      <w:r w:rsidR="00477587">
        <w:t>options</w:t>
      </w:r>
      <w:r w:rsidR="00117EA7">
        <w:t xml:space="preserve"> based on scope</w:t>
      </w:r>
    </w:p>
    <w:p w14:paraId="4AB52F19" w14:textId="6E03D51D" w:rsidR="00117EA7" w:rsidRDefault="00117EA7" w:rsidP="0039337C">
      <w:pPr>
        <w:pStyle w:val="ListParagraph"/>
        <w:numPr>
          <w:ilvl w:val="0"/>
          <w:numId w:val="21"/>
        </w:numPr>
      </w:pPr>
      <w:r>
        <w:t xml:space="preserve">Section </w:t>
      </w:r>
      <w:r>
        <w:fldChar w:fldCharType="begin"/>
      </w:r>
      <w:r>
        <w:instrText xml:space="preserve"> REF _Ref529182204 \r \h </w:instrText>
      </w:r>
      <w:r>
        <w:fldChar w:fldCharType="separate"/>
      </w:r>
      <w:r>
        <w:t>1.1.3</w:t>
      </w:r>
      <w:r>
        <w:fldChar w:fldCharType="end"/>
      </w:r>
      <w:r>
        <w:t xml:space="preserve">: data requirements for </w:t>
      </w:r>
      <w:r w:rsidR="00236A2B">
        <w:t xml:space="preserve">each </w:t>
      </w:r>
      <w:r w:rsidR="0036260D">
        <w:t>option</w:t>
      </w:r>
    </w:p>
    <w:p w14:paraId="36CB1549" w14:textId="77777777" w:rsidR="00F850D9" w:rsidRPr="00F850D9" w:rsidRDefault="00F850D9" w:rsidP="00F850D9"/>
    <w:p w14:paraId="08EE5133" w14:textId="50E19714" w:rsidR="00F87A8A" w:rsidRDefault="00F87A8A" w:rsidP="0039337C">
      <w:pPr>
        <w:pStyle w:val="Heading3"/>
      </w:pPr>
      <w:bookmarkStart w:id="0" w:name="_Ref529182886"/>
      <w:r>
        <w:t>Methodology</w:t>
      </w:r>
      <w:bookmarkEnd w:id="0"/>
    </w:p>
    <w:p w14:paraId="796DC9FB" w14:textId="03EA9BB9" w:rsidR="00F87A8A" w:rsidRDefault="00F87A8A" w:rsidP="00F87A8A"/>
    <w:p w14:paraId="5A64AD4C" w14:textId="22EE4134" w:rsidR="00F87A8A" w:rsidRDefault="00EF0EA8" w:rsidP="00F87A8A">
      <w:pPr>
        <w:rPr>
          <w:b/>
        </w:rPr>
      </w:pPr>
      <w:r w:rsidRPr="006E4B89">
        <w:rPr>
          <w:b/>
        </w:rPr>
        <w:t xml:space="preserve">The Altman Z-score </w:t>
      </w:r>
      <w:r w:rsidR="002505E7">
        <w:rPr>
          <w:b/>
        </w:rPr>
        <w:t xml:space="preserve">is a </w:t>
      </w:r>
      <w:r w:rsidR="00C26A5D">
        <w:rPr>
          <w:b/>
        </w:rPr>
        <w:t xml:space="preserve">measure </w:t>
      </w:r>
      <w:r w:rsidRPr="006E4B89">
        <w:rPr>
          <w:b/>
        </w:rPr>
        <w:t>of firm solvency (bankruptcy risk)</w:t>
      </w:r>
      <w:r w:rsidR="002505E7">
        <w:rPr>
          <w:b/>
        </w:rPr>
        <w:t>, which</w:t>
      </w:r>
      <w:r w:rsidRPr="006E4B89">
        <w:rPr>
          <w:b/>
        </w:rPr>
        <w:t xml:space="preserve"> </w:t>
      </w:r>
      <w:r w:rsidR="002505E7">
        <w:rPr>
          <w:b/>
        </w:rPr>
        <w:t xml:space="preserve">we will use </w:t>
      </w:r>
      <w:r w:rsidRPr="006E4B89">
        <w:rPr>
          <w:b/>
        </w:rPr>
        <w:t xml:space="preserve">to estimate </w:t>
      </w:r>
      <w:r w:rsidR="006E4B89" w:rsidRPr="006E4B89">
        <w:rPr>
          <w:b/>
        </w:rPr>
        <w:t xml:space="preserve">the effect of the low-carbon transition on </w:t>
      </w:r>
      <w:r w:rsidRPr="006E4B89">
        <w:rPr>
          <w:b/>
        </w:rPr>
        <w:t>corporate debt default risk</w:t>
      </w:r>
      <w:r w:rsidR="00C26A5D">
        <w:rPr>
          <w:b/>
        </w:rPr>
        <w:t>.</w:t>
      </w:r>
    </w:p>
    <w:p w14:paraId="7091A253" w14:textId="1E0D50A7" w:rsidR="004911DF" w:rsidRPr="004911DF" w:rsidRDefault="004911DF" w:rsidP="00F87A8A"/>
    <w:p w14:paraId="2AEADA40" w14:textId="74371E3D" w:rsidR="00F076C0" w:rsidRDefault="004911DF" w:rsidP="00F87A8A">
      <w:pPr>
        <w:rPr>
          <w:b/>
        </w:rPr>
      </w:pPr>
      <w:r w:rsidRPr="00673FE9">
        <w:rPr>
          <w:b/>
        </w:rPr>
        <w:t>The Altman Z-score</w:t>
      </w:r>
      <w:r w:rsidR="00673FE9" w:rsidRPr="00673FE9">
        <w:rPr>
          <w:b/>
        </w:rPr>
        <w:t xml:space="preserve"> is defined </w:t>
      </w:r>
      <w:commentRangeStart w:id="1"/>
      <w:r w:rsidR="00673FE9" w:rsidRPr="00673FE9">
        <w:rPr>
          <w:b/>
        </w:rPr>
        <w:t>as</w:t>
      </w:r>
      <w:commentRangeEnd w:id="1"/>
      <w:r w:rsidR="0009659A">
        <w:rPr>
          <w:rStyle w:val="CommentReference"/>
        </w:rPr>
        <w:commentReference w:id="1"/>
      </w:r>
      <w:r w:rsidR="008B1FC5" w:rsidRPr="00673FE9">
        <w:rPr>
          <w:b/>
        </w:rPr>
        <w:t>:</w:t>
      </w:r>
    </w:p>
    <w:p w14:paraId="018FF1DD" w14:textId="77777777" w:rsidR="00673FE9" w:rsidRPr="0042177E" w:rsidRDefault="00673FE9" w:rsidP="00F87A8A"/>
    <w:p w14:paraId="24D654F0" w14:textId="208F3971" w:rsidR="00C26A5D" w:rsidRPr="000646AF" w:rsidRDefault="007E74C6" w:rsidP="00F87A8A">
      <w:pPr>
        <w:rPr>
          <w:b/>
        </w:rPr>
      </w:pPr>
      <m:oMathPara>
        <m:oMath>
          <m:r>
            <w:rPr>
              <w:rFonts w:ascii="Cambria Math" w:hAnsi="Cambria Math"/>
            </w:rPr>
            <m:t xml:space="preserve">Z = 1.2 X1 + 1.4 X2 </m:t>
          </m:r>
          <m:r>
            <m:rPr>
              <m:sty m:val="bi"/>
            </m:rPr>
            <w:rPr>
              <w:rFonts w:ascii="Cambria Math" w:hAnsi="Cambria Math"/>
            </w:rPr>
            <m:t>+ 3.3 X</m:t>
          </m:r>
          <m:r>
            <m:rPr>
              <m:sty m:val="bi"/>
            </m:rPr>
            <w:rPr>
              <w:rFonts w:ascii="Cambria Math" w:hAnsi="Cambria Math"/>
            </w:rPr>
            <m:t>3 + 0.6 X</m:t>
          </m:r>
          <m:r>
            <m:rPr>
              <m:sty m:val="bi"/>
            </m:rPr>
            <w:rPr>
              <w:rFonts w:ascii="Cambria Math" w:hAnsi="Cambria Math"/>
            </w:rPr>
            <m:t>4 + 1 X</m:t>
          </m:r>
          <m:r>
            <m:rPr>
              <m:sty m:val="bi"/>
            </m:rPr>
            <w:rPr>
              <w:rFonts w:ascii="Cambria Math" w:hAnsi="Cambria Math"/>
            </w:rPr>
            <m:t>5</m:t>
          </m:r>
        </m:oMath>
      </m:oMathPara>
    </w:p>
    <w:p w14:paraId="0C783D9C" w14:textId="5549904C" w:rsidR="00C26A5D" w:rsidRDefault="00C26A5D" w:rsidP="00F87A8A"/>
    <w:p w14:paraId="0231A189" w14:textId="4507267B" w:rsidR="008B1FC5" w:rsidRDefault="00BB369D" w:rsidP="00F87A8A">
      <w:r>
        <w:t>w</w:t>
      </w:r>
      <w:r w:rsidR="008B1FC5">
        <w:t>here</w:t>
      </w:r>
      <w:r>
        <w:t xml:space="preserve"> (terms in </w:t>
      </w:r>
      <w:r w:rsidRPr="00BB369D">
        <w:rPr>
          <w:b/>
        </w:rPr>
        <w:t>bold</w:t>
      </w:r>
      <w:r>
        <w:t xml:space="preserve"> are affected by low-carbon transition scenario modelling)</w:t>
      </w:r>
      <w:r w:rsidR="008B1FC5">
        <w:t>:</w:t>
      </w:r>
    </w:p>
    <w:p w14:paraId="3E5C1F97" w14:textId="77777777" w:rsidR="00BB369D" w:rsidRDefault="00BB369D" w:rsidP="00F87A8A"/>
    <w:p w14:paraId="4187EA0B" w14:textId="7C5F9649" w:rsidR="008B1FC5" w:rsidRPr="009C3816" w:rsidRDefault="00411711" w:rsidP="00411711">
      <w:pPr>
        <w:spacing w:line="240" w:lineRule="auto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 xml:space="preserve">X1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Working Capital</m:t>
              </m:r>
            </m:num>
            <m:den>
              <m:r>
                <w:rPr>
                  <w:rFonts w:ascii="Cambria Math" w:hAnsi="Cambria Math"/>
                </w:rPr>
                <m:t>Total Assets</m:t>
              </m:r>
            </m:den>
          </m:f>
          <m:r>
            <w:rPr>
              <w:rFonts w:ascii="Cambria Math" w:hAnsi="Cambria Math"/>
            </w:rPr>
            <m:t xml:space="preserve">, X2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Retained Earnings</m:t>
              </m:r>
            </m:num>
            <m:den>
              <m:r>
                <w:rPr>
                  <w:rFonts w:ascii="Cambria Math" w:hAnsi="Cambria Math"/>
                </w:rPr>
                <m:t>Total Assets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X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3 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EBITDA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Total Assets</m:t>
              </m:r>
            </m:den>
          </m:f>
        </m:oMath>
      </m:oMathPara>
    </w:p>
    <w:p w14:paraId="09761FDC" w14:textId="13B0E9AE" w:rsidR="00411711" w:rsidRDefault="00411711" w:rsidP="00411711">
      <w:pPr>
        <w:spacing w:line="240" w:lineRule="auto"/>
      </w:pPr>
    </w:p>
    <w:p w14:paraId="050178E1" w14:textId="41287321" w:rsidR="00411711" w:rsidRPr="009C3816" w:rsidRDefault="009C3816" w:rsidP="00411711">
      <w:pPr>
        <w:spacing w:line="240" w:lineRule="au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 xml:space="preserve">4 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Market Value of Equity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Total Liabilities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,X</m:t>
          </m:r>
          <m:r>
            <m:rPr>
              <m:sty m:val="bi"/>
            </m:rPr>
            <w:rPr>
              <w:rFonts w:ascii="Cambria Math" w:hAnsi="Cambria Math"/>
            </w:rPr>
            <m:t xml:space="preserve">5 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Net Sales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Total Assets</m:t>
              </m:r>
            </m:den>
          </m:f>
        </m:oMath>
      </m:oMathPara>
    </w:p>
    <w:p w14:paraId="6B3DB144" w14:textId="40368DD8" w:rsidR="00F87A8A" w:rsidRDefault="00F87A8A" w:rsidP="00F87A8A"/>
    <w:p w14:paraId="4A6F2891" w14:textId="280AF2B8" w:rsidR="00DE1A5A" w:rsidRDefault="008D6D4E" w:rsidP="00F87A8A">
      <w:r>
        <w:t xml:space="preserve">Company-level </w:t>
      </w:r>
      <w:r w:rsidR="000D16C8">
        <w:t xml:space="preserve">value stream </w:t>
      </w:r>
      <w:r w:rsidR="00155C5D">
        <w:t xml:space="preserve">model results </w:t>
      </w:r>
      <w:r w:rsidR="000D16C8">
        <w:t xml:space="preserve">(discounted cashflow analysis) </w:t>
      </w:r>
      <w:r>
        <w:t xml:space="preserve">from the </w:t>
      </w:r>
      <w:r w:rsidR="00155C5D">
        <w:t xml:space="preserve">existing equity analysis </w:t>
      </w:r>
      <w:r>
        <w:t xml:space="preserve">allows us to </w:t>
      </w:r>
      <w:r w:rsidRPr="0020773C">
        <w:rPr>
          <w:b/>
        </w:rPr>
        <w:t xml:space="preserve">estimate the impact of each climate scenario on </w:t>
      </w:r>
      <w:r>
        <w:rPr>
          <w:b/>
        </w:rPr>
        <w:t xml:space="preserve">the Altman Z-score, through </w:t>
      </w:r>
      <w:r w:rsidRPr="0020773C">
        <w:rPr>
          <w:b/>
        </w:rPr>
        <w:t xml:space="preserve">terms </w:t>
      </w:r>
      <w:commentRangeStart w:id="2"/>
      <w:r w:rsidRPr="0020773C">
        <w:rPr>
          <w:b/>
        </w:rPr>
        <w:t>X3</w:t>
      </w:r>
      <w:r>
        <w:rPr>
          <w:b/>
        </w:rPr>
        <w:t xml:space="preserve">, </w:t>
      </w:r>
      <w:r w:rsidRPr="0020773C">
        <w:rPr>
          <w:b/>
        </w:rPr>
        <w:t>X4</w:t>
      </w:r>
      <w:commentRangeEnd w:id="2"/>
      <w:r>
        <w:rPr>
          <w:rStyle w:val="CommentReference"/>
        </w:rPr>
        <w:commentReference w:id="2"/>
      </w:r>
      <w:r>
        <w:rPr>
          <w:b/>
        </w:rPr>
        <w:t xml:space="preserve"> </w:t>
      </w:r>
      <w:r w:rsidRPr="00C77191">
        <w:rPr>
          <w:b/>
        </w:rPr>
        <w:t>and X5</w:t>
      </w:r>
      <w:r w:rsidR="00155C5D">
        <w:rPr>
          <w:b/>
        </w:rPr>
        <w:t xml:space="preserve"> above</w:t>
      </w:r>
      <w:r>
        <w:t>.</w:t>
      </w:r>
      <w:r w:rsidR="004452DD">
        <w:t xml:space="preserve"> </w:t>
      </w:r>
      <w:r w:rsidR="00786CD8">
        <w:t>The change in Altman Z-score under each climate transition scenario</w:t>
      </w:r>
      <w:r w:rsidR="000232F6">
        <w:t xml:space="preserve"> can be estimated using the change in these elements, and </w:t>
      </w:r>
      <w:r w:rsidR="000232F6" w:rsidRPr="004452DD">
        <w:rPr>
          <w:b/>
        </w:rPr>
        <w:t>the assumption that X1</w:t>
      </w:r>
      <w:r w:rsidR="004452DD" w:rsidRPr="004452DD">
        <w:rPr>
          <w:b/>
        </w:rPr>
        <w:t xml:space="preserve"> and X2</w:t>
      </w:r>
      <w:r w:rsidR="000232F6" w:rsidRPr="004452DD">
        <w:rPr>
          <w:b/>
        </w:rPr>
        <w:t xml:space="preserve"> are constant across </w:t>
      </w:r>
      <w:r w:rsidR="004452DD">
        <w:rPr>
          <w:b/>
        </w:rPr>
        <w:t xml:space="preserve">low-carbon transition </w:t>
      </w:r>
      <w:r w:rsidR="000232F6" w:rsidRPr="004452DD">
        <w:rPr>
          <w:b/>
        </w:rPr>
        <w:t>scenarios</w:t>
      </w:r>
      <w:r w:rsidR="000232F6">
        <w:t>.</w:t>
      </w:r>
      <w:r w:rsidR="00F67532">
        <w:t xml:space="preserve"> This is set out below (where NPA = the No Policy Action scenario)</w:t>
      </w:r>
      <w:r w:rsidR="007400C7">
        <w:t>:</w:t>
      </w:r>
    </w:p>
    <w:p w14:paraId="7CDD6B88" w14:textId="3EFE8F63" w:rsidR="000D7165" w:rsidRDefault="000D7165" w:rsidP="00F87A8A"/>
    <w:p w14:paraId="46CFABB8" w14:textId="26C61AAC" w:rsidR="000D7165" w:rsidRPr="0039337C" w:rsidRDefault="00A50B91" w:rsidP="00F87A8A">
      <w:pPr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∆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2DS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≡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2DS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NPA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             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X1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2DS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X2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2DS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X3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2DS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X4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2DS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X5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2DS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X1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NPA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X2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NPA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X3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NPA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X4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NPA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X5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NPA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             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2DS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NPA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+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2DS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NPA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+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2DS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NPA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            = 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∆X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DS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+∆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DS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+ ∆</m:t>
          </m:r>
          <m:sSup>
            <m:sSup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DS</m:t>
              </m:r>
            </m:sup>
          </m:sSup>
        </m:oMath>
      </m:oMathPara>
    </w:p>
    <w:p w14:paraId="43B81D68" w14:textId="126473AD" w:rsidR="0039337C" w:rsidRDefault="0039337C" w:rsidP="00F87A8A">
      <w:pPr>
        <w:rPr>
          <w:sz w:val="20"/>
          <w:szCs w:val="20"/>
        </w:rPr>
      </w:pPr>
    </w:p>
    <w:p w14:paraId="5CBEF9B5" w14:textId="6EEA13C7" w:rsidR="00352780" w:rsidRDefault="00562608" w:rsidP="00352780">
      <w:r>
        <w:rPr>
          <w:b/>
        </w:rPr>
        <w:t xml:space="preserve">Altman </w:t>
      </w:r>
      <w:r w:rsidR="00352780" w:rsidRPr="00352780">
        <w:rPr>
          <w:b/>
        </w:rPr>
        <w:t xml:space="preserve">Z-score values are often interpreted as reflecting </w:t>
      </w:r>
      <w:r w:rsidR="00352780">
        <w:rPr>
          <w:b/>
        </w:rPr>
        <w:t xml:space="preserve">bankruptcy risk levels </w:t>
      </w:r>
      <w:r w:rsidR="00352780">
        <w:t xml:space="preserve">– some common thresholds are shown in </w:t>
      </w:r>
      <w:r w:rsidR="00352780">
        <w:fldChar w:fldCharType="begin"/>
      </w:r>
      <w:r w:rsidR="00352780">
        <w:instrText xml:space="preserve"> REF _Ref529193356 \r \h </w:instrText>
      </w:r>
      <w:r w:rsidR="00352780">
        <w:fldChar w:fldCharType="separate"/>
      </w:r>
      <w:r w:rsidR="00352780">
        <w:t>Box 1</w:t>
      </w:r>
      <w:r w:rsidR="00352780">
        <w:fldChar w:fldCharType="end"/>
      </w:r>
      <w:r w:rsidR="00352780">
        <w:t>.</w:t>
      </w:r>
      <w:r w:rsidR="00CC21F7">
        <w:t xml:space="preserve"> The outputs from </w:t>
      </w:r>
      <w:r w:rsidR="00A77247">
        <w:t>this</w:t>
      </w:r>
      <w:r w:rsidR="00CC21F7">
        <w:t xml:space="preserve"> analysis could be presented in this </w:t>
      </w:r>
      <w:r w:rsidR="00296F0A">
        <w:t>format</w:t>
      </w:r>
      <w:r w:rsidR="00CC21F7">
        <w:t xml:space="preserve">, or in the form of explicit default probabilities based on </w:t>
      </w:r>
      <w:r w:rsidR="0072274A">
        <w:t xml:space="preserve">empirical estimates of </w:t>
      </w:r>
      <w:r w:rsidR="00CC21F7">
        <w:t>the relationship between Altman Z-scores and default probabilit</w:t>
      </w:r>
      <w:r w:rsidR="00D00954">
        <w:t>ies</w:t>
      </w:r>
      <w:r w:rsidR="00CC21F7">
        <w:t>.</w:t>
      </w:r>
    </w:p>
    <w:p w14:paraId="257E8779" w14:textId="77777777" w:rsidR="00352780" w:rsidRDefault="00352780" w:rsidP="00352780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CCFF"/>
        <w:tblLook w:val="04A0" w:firstRow="1" w:lastRow="0" w:firstColumn="1" w:lastColumn="0" w:noHBand="0" w:noVBand="1"/>
      </w:tblPr>
      <w:tblGrid>
        <w:gridCol w:w="8918"/>
      </w:tblGrid>
      <w:tr w:rsidR="00352780" w:rsidRPr="003721F3" w14:paraId="015984CF" w14:textId="77777777" w:rsidTr="00AA335A">
        <w:trPr>
          <w:trHeight w:val="567"/>
        </w:trPr>
        <w:tc>
          <w:tcPr>
            <w:tcW w:w="9356" w:type="dxa"/>
            <w:shd w:val="clear" w:color="auto" w:fill="90E1F9"/>
          </w:tcPr>
          <w:p w14:paraId="021FE3F5" w14:textId="77777777" w:rsidR="00352780" w:rsidRPr="003721F3" w:rsidRDefault="00352780" w:rsidP="00AA335A">
            <w:pPr>
              <w:pStyle w:val="Boxtitle"/>
            </w:pPr>
            <w:bookmarkStart w:id="3" w:name="_Ref529193356"/>
            <w:r>
              <w:lastRenderedPageBreak/>
              <w:t>Rule of thumb thresholds for Altman Z-scores</w:t>
            </w:r>
            <w:bookmarkEnd w:id="3"/>
          </w:p>
          <w:p w14:paraId="1C78EDEC" w14:textId="77777777" w:rsidR="00352780" w:rsidRPr="00097BBC" w:rsidRDefault="00352780" w:rsidP="00AA335A">
            <w:pPr>
              <w:pStyle w:val="Boxtitle"/>
              <w:numPr>
                <w:ilvl w:val="0"/>
                <w:numId w:val="22"/>
              </w:numPr>
              <w:spacing w:before="120" w:after="120" w:line="240" w:lineRule="auto"/>
              <w:ind w:left="714" w:hanging="357"/>
              <w:rPr>
                <w:b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Z≥3 </m:t>
              </m:r>
            </m:oMath>
            <w:r w:rsidRPr="00097BBC">
              <w:rPr>
                <w:b w:val="0"/>
              </w:rPr>
              <w:t>indicates the firm is safe based on financial data</w:t>
            </w:r>
          </w:p>
          <w:p w14:paraId="664C27E3" w14:textId="77777777" w:rsidR="00352780" w:rsidRPr="00097BBC" w:rsidRDefault="00352780" w:rsidP="00AA335A">
            <w:pPr>
              <w:pStyle w:val="Boxtitle"/>
              <w:numPr>
                <w:ilvl w:val="0"/>
                <w:numId w:val="22"/>
              </w:numPr>
              <w:spacing w:before="120" w:after="120" w:line="240" w:lineRule="auto"/>
              <w:ind w:left="714" w:hanging="357"/>
              <w:rPr>
                <w:b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3&gt;Z≥2.7</m:t>
              </m:r>
            </m:oMath>
            <w:r w:rsidRPr="00097BBC">
              <w:rPr>
                <w:rFonts w:eastAsiaTheme="minorEastAsia"/>
                <w:b w:val="0"/>
              </w:rPr>
              <w:t xml:space="preserve"> </w:t>
            </w:r>
            <w:r w:rsidRPr="00097BBC">
              <w:rPr>
                <w:b w:val="0"/>
              </w:rPr>
              <w:t>suggests the firm is probably safe from bankruptcy, but caution is required</w:t>
            </w:r>
          </w:p>
          <w:p w14:paraId="12A3264E" w14:textId="77777777" w:rsidR="00352780" w:rsidRPr="00097BBC" w:rsidRDefault="00352780" w:rsidP="00AA335A">
            <w:pPr>
              <w:pStyle w:val="Boxtitle"/>
              <w:numPr>
                <w:ilvl w:val="0"/>
                <w:numId w:val="22"/>
              </w:numPr>
              <w:spacing w:before="120" w:after="120" w:line="240" w:lineRule="auto"/>
              <w:ind w:left="714" w:hanging="357"/>
              <w:rPr>
                <w:b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2.7&gt;Z≥1.8 </m:t>
              </m:r>
            </m:oMath>
            <w:r w:rsidRPr="00097BBC">
              <w:rPr>
                <w:b w:val="0"/>
              </w:rPr>
              <w:t>indicates the firm is likely to be bankrupt in the next 2 years</w:t>
            </w:r>
          </w:p>
          <w:p w14:paraId="180134F6" w14:textId="09112A60" w:rsidR="00352780" w:rsidRPr="003721F3" w:rsidRDefault="00352780" w:rsidP="00AA335A">
            <w:pPr>
              <w:pStyle w:val="Boxtitle"/>
              <w:numPr>
                <w:ilvl w:val="0"/>
                <w:numId w:val="22"/>
              </w:numPr>
              <w:spacing w:before="120" w:after="120" w:line="240" w:lineRule="auto"/>
              <w:ind w:left="714" w:hanging="357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&lt;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1.8</m:t>
              </m:r>
            </m:oMath>
            <w:r w:rsidRPr="00097BBC">
              <w:rPr>
                <w:b w:val="0"/>
              </w:rPr>
              <w:t xml:space="preserve"> suggests the company is likely to alrea</w:t>
            </w:r>
            <w:proofErr w:type="spellStart"/>
            <w:r w:rsidRPr="00097BBC">
              <w:rPr>
                <w:b w:val="0"/>
              </w:rPr>
              <w:t>dy</w:t>
            </w:r>
            <w:proofErr w:type="spellEnd"/>
            <w:r w:rsidRPr="00097BBC">
              <w:rPr>
                <w:b w:val="0"/>
              </w:rPr>
              <w:t xml:space="preserve"> be bankrupt</w:t>
            </w:r>
          </w:p>
        </w:tc>
      </w:tr>
    </w:tbl>
    <w:p w14:paraId="62489898" w14:textId="77777777" w:rsidR="00352780" w:rsidRDefault="00352780" w:rsidP="00352780">
      <w:pPr>
        <w:rPr>
          <w:b/>
        </w:rPr>
      </w:pPr>
    </w:p>
    <w:p w14:paraId="64F4D390" w14:textId="22E0ADB3" w:rsidR="0039337C" w:rsidRDefault="0039337C" w:rsidP="0039337C">
      <w:pPr>
        <w:pStyle w:val="Heading3"/>
      </w:pPr>
      <w:bookmarkStart w:id="4" w:name="_Ref529192709"/>
      <w:r>
        <w:t>Analytical scope / levels</w:t>
      </w:r>
      <w:bookmarkEnd w:id="4"/>
    </w:p>
    <w:p w14:paraId="207476F5" w14:textId="77777777" w:rsidR="0039337C" w:rsidRPr="0039337C" w:rsidRDefault="0039337C" w:rsidP="0039337C"/>
    <w:p w14:paraId="6190806C" w14:textId="2623A9D2" w:rsidR="00DA2C32" w:rsidRDefault="00AD523F" w:rsidP="00F87A8A">
      <w:pPr>
        <w:rPr>
          <w:b/>
        </w:rPr>
      </w:pPr>
      <w:r>
        <w:rPr>
          <w:b/>
        </w:rPr>
        <w:t xml:space="preserve">The </w:t>
      </w:r>
      <w:r w:rsidR="00A83CBC" w:rsidRPr="00BC3814">
        <w:rPr>
          <w:b/>
        </w:rPr>
        <w:t>above methodology</w:t>
      </w:r>
      <w:r w:rsidR="00DA2C32">
        <w:rPr>
          <w:b/>
        </w:rPr>
        <w:t xml:space="preserve"> could be </w:t>
      </w:r>
      <w:r>
        <w:rPr>
          <w:b/>
        </w:rPr>
        <w:t xml:space="preserve">applied </w:t>
      </w:r>
      <w:r w:rsidR="00DA2C32">
        <w:rPr>
          <w:b/>
        </w:rPr>
        <w:t xml:space="preserve">at </w:t>
      </w:r>
      <w:r w:rsidR="00143451">
        <w:rPr>
          <w:b/>
        </w:rPr>
        <w:t>2</w:t>
      </w:r>
      <w:r w:rsidR="00DA2C32">
        <w:rPr>
          <w:b/>
        </w:rPr>
        <w:t xml:space="preserve"> potential levels</w:t>
      </w:r>
      <w:r>
        <w:rPr>
          <w:b/>
        </w:rPr>
        <w:t xml:space="preserve"> of granularity, depending on data availability</w:t>
      </w:r>
      <w:r w:rsidR="00DA2C32">
        <w:rPr>
          <w:b/>
        </w:rPr>
        <w:t>:</w:t>
      </w:r>
      <w:r w:rsidR="00B02F47">
        <w:rPr>
          <w:b/>
        </w:rPr>
        <w:br/>
      </w:r>
    </w:p>
    <w:p w14:paraId="6F9FD44A" w14:textId="1A332BD6" w:rsidR="00B323A6" w:rsidRDefault="00562A9E" w:rsidP="00DA2C32">
      <w:pPr>
        <w:pStyle w:val="ListParagraph"/>
        <w:numPr>
          <w:ilvl w:val="0"/>
          <w:numId w:val="18"/>
        </w:numPr>
      </w:pPr>
      <w:r w:rsidRPr="00562A9E">
        <w:rPr>
          <w:b/>
        </w:rPr>
        <w:t>Asset-level</w:t>
      </w:r>
      <w:r>
        <w:t xml:space="preserve"> </w:t>
      </w:r>
      <w:r w:rsidRPr="00562A9E">
        <w:rPr>
          <w:b/>
        </w:rPr>
        <w:t xml:space="preserve">(individual </w:t>
      </w:r>
      <w:bookmarkStart w:id="5" w:name="_GoBack"/>
      <w:bookmarkEnd w:id="5"/>
      <w:r w:rsidRPr="00562A9E">
        <w:rPr>
          <w:b/>
        </w:rPr>
        <w:t>corporate bonds)</w:t>
      </w:r>
      <w:r>
        <w:t xml:space="preserve"> </w:t>
      </w:r>
      <w:r w:rsidRPr="00562A9E">
        <w:rPr>
          <w:b/>
        </w:rPr>
        <w:t>Z-scores</w:t>
      </w:r>
      <w:r w:rsidR="00B323A6">
        <w:t>:</w:t>
      </w:r>
    </w:p>
    <w:p w14:paraId="13963981" w14:textId="6C7C357D" w:rsidR="00B323A6" w:rsidRDefault="00B323A6" w:rsidP="00B323A6">
      <w:pPr>
        <w:pStyle w:val="ListParagraph"/>
        <w:numPr>
          <w:ilvl w:val="1"/>
          <w:numId w:val="18"/>
        </w:numPr>
      </w:pPr>
      <w:r>
        <w:t>C</w:t>
      </w:r>
      <w:r w:rsidR="00CE2052">
        <w:t xml:space="preserve">alculate Z-scores in No Policy Action scenario, and </w:t>
      </w:r>
      <w:r w:rsidR="00CE6DF8">
        <w:t xml:space="preserve">under each </w:t>
      </w:r>
      <w:r w:rsidR="00CE2052">
        <w:t xml:space="preserve">climate scenario </w:t>
      </w:r>
      <w:r w:rsidR="00CE6DF8">
        <w:t>based on modelled changes in EBITDA, market value of equity and net sales</w:t>
      </w:r>
    </w:p>
    <w:p w14:paraId="0FD565C8" w14:textId="72A35034" w:rsidR="00EB6576" w:rsidRDefault="00CE6DF8" w:rsidP="00B323A6">
      <w:pPr>
        <w:pStyle w:val="ListParagraph"/>
        <w:numPr>
          <w:ilvl w:val="1"/>
          <w:numId w:val="18"/>
        </w:numPr>
      </w:pPr>
      <w:r>
        <w:t xml:space="preserve">This produces </w:t>
      </w:r>
      <w:r w:rsidR="00B323A6">
        <w:t xml:space="preserve">estimates of default risk under each </w:t>
      </w:r>
      <w:r w:rsidR="001366E6">
        <w:t>scenario</w:t>
      </w:r>
      <w:r w:rsidR="00C553CE">
        <w:t xml:space="preserve">, </w:t>
      </w:r>
      <w:r>
        <w:t xml:space="preserve">at the asset-level, </w:t>
      </w:r>
      <w:r w:rsidR="00C553CE">
        <w:t>allowing for comparison</w:t>
      </w:r>
      <w:r>
        <w:t>s between fixed income instruments within each sector, and</w:t>
      </w:r>
      <w:r w:rsidR="00C553CE">
        <w:t xml:space="preserve"> </w:t>
      </w:r>
      <w:r w:rsidR="00277DBE">
        <w:t xml:space="preserve">against </w:t>
      </w:r>
      <w:r w:rsidR="00485FF1">
        <w:t>the thresholds</w:t>
      </w:r>
      <w:r w:rsidR="00EB6576">
        <w:t xml:space="preserve"> identified </w:t>
      </w:r>
      <w:r>
        <w:t xml:space="preserve">in </w:t>
      </w:r>
      <w:r>
        <w:fldChar w:fldCharType="begin"/>
      </w:r>
      <w:r>
        <w:instrText xml:space="preserve"> REF _Ref529193356 \r \h </w:instrText>
      </w:r>
      <w:r>
        <w:fldChar w:fldCharType="separate"/>
      </w:r>
      <w:r>
        <w:t>Box 1</w:t>
      </w:r>
      <w:r>
        <w:fldChar w:fldCharType="end"/>
      </w:r>
      <w:r w:rsidR="00B02F47">
        <w:br/>
      </w:r>
    </w:p>
    <w:p w14:paraId="6BA4F1D9" w14:textId="5279CC9F" w:rsidR="00C87887" w:rsidRDefault="00F745CD" w:rsidP="00C87887">
      <w:pPr>
        <w:pStyle w:val="ListParagraph"/>
        <w:numPr>
          <w:ilvl w:val="0"/>
          <w:numId w:val="18"/>
        </w:numPr>
        <w:rPr>
          <w:b/>
        </w:rPr>
      </w:pPr>
      <w:r w:rsidRPr="004801BA">
        <w:rPr>
          <w:b/>
        </w:rPr>
        <w:t>Sector-region</w:t>
      </w:r>
      <w:r w:rsidR="00C87887" w:rsidRPr="004801BA">
        <w:rPr>
          <w:b/>
        </w:rPr>
        <w:t xml:space="preserve"> </w:t>
      </w:r>
      <w:r w:rsidR="00CD7ABE">
        <w:rPr>
          <w:b/>
        </w:rPr>
        <w:t xml:space="preserve">(corporate bond subclass) </w:t>
      </w:r>
      <w:r w:rsidR="00C87887" w:rsidRPr="004801BA">
        <w:rPr>
          <w:b/>
        </w:rPr>
        <w:t>Z-scores:</w:t>
      </w:r>
    </w:p>
    <w:p w14:paraId="49344FAC" w14:textId="4562E365" w:rsidR="00CD7ABE" w:rsidRDefault="00CD7ABE" w:rsidP="00CD7ABE">
      <w:pPr>
        <w:pStyle w:val="ListParagraph"/>
        <w:numPr>
          <w:ilvl w:val="1"/>
          <w:numId w:val="18"/>
        </w:numPr>
      </w:pPr>
      <w:r>
        <w:t>Calculate Z-scores in No Policy Action scenario for corporate bond subclasses (sector-region)</w:t>
      </w:r>
      <w:r w:rsidR="00973718">
        <w:t xml:space="preserve"> based on sector-average</w:t>
      </w:r>
      <w:r w:rsidR="0001709D">
        <w:t xml:space="preserve"> or company archetype</w:t>
      </w:r>
      <w:r w:rsidR="00973718">
        <w:t xml:space="preserve"> data</w:t>
      </w:r>
      <w:r>
        <w:t xml:space="preserve">, and </w:t>
      </w:r>
      <w:r w:rsidR="00973718">
        <w:t>under each climate scenario based on the sector-average</w:t>
      </w:r>
      <w:r w:rsidR="0001709D">
        <w:t xml:space="preserve"> or company archetype’s </w:t>
      </w:r>
      <w:r w:rsidR="00973718">
        <w:t>modelled changes in EBITDA, market value of equity and net sales</w:t>
      </w:r>
    </w:p>
    <w:p w14:paraId="16B3EDE1" w14:textId="7EEAFB19" w:rsidR="00DA2C32" w:rsidRDefault="004148AB" w:rsidP="00F87A8A">
      <w:pPr>
        <w:pStyle w:val="ListParagraph"/>
        <w:numPr>
          <w:ilvl w:val="1"/>
          <w:numId w:val="18"/>
        </w:numPr>
      </w:pPr>
      <w:r>
        <w:t xml:space="preserve">This yields </w:t>
      </w:r>
      <w:r w:rsidR="00CD7ABE">
        <w:t xml:space="preserve">estimates of default risk under each scenario, </w:t>
      </w:r>
      <w:r>
        <w:t xml:space="preserve">at the asset-class level </w:t>
      </w:r>
    </w:p>
    <w:p w14:paraId="10D4DC15" w14:textId="49C16E1A" w:rsidR="00DE1A5A" w:rsidRPr="00F87A8A" w:rsidRDefault="00802D81" w:rsidP="00F87A8A">
      <w:pPr>
        <w:pStyle w:val="ListParagraph"/>
        <w:numPr>
          <w:ilvl w:val="1"/>
          <w:numId w:val="18"/>
        </w:numPr>
      </w:pPr>
      <w:r w:rsidRPr="001C7264">
        <w:rPr>
          <w:b/>
        </w:rPr>
        <w:t>This analysis could be performed based on sector-average data, or through archetype companies (~3) within each sector</w:t>
      </w:r>
    </w:p>
    <w:p w14:paraId="17DAF2F5" w14:textId="4C5F24B6" w:rsidR="00EA06A9" w:rsidRDefault="00EA06A9" w:rsidP="008E03DB">
      <w:pPr>
        <w:pStyle w:val="Heading3"/>
      </w:pPr>
      <w:bookmarkStart w:id="6" w:name="_Ref529182204"/>
      <w:r>
        <w:lastRenderedPageBreak/>
        <w:t xml:space="preserve">Data </w:t>
      </w:r>
      <w:commentRangeStart w:id="7"/>
      <w:r>
        <w:t>requirements</w:t>
      </w:r>
      <w:bookmarkEnd w:id="6"/>
      <w:commentRangeEnd w:id="7"/>
      <w:r w:rsidR="00C15D03">
        <w:rPr>
          <w:rStyle w:val="CommentReference"/>
          <w:rFonts w:cstheme="minorBidi"/>
          <w:b w:val="0"/>
        </w:rPr>
        <w:commentReference w:id="7"/>
      </w:r>
    </w:p>
    <w:p w14:paraId="06BA9DFA" w14:textId="0BB241F8" w:rsidR="007F6A00" w:rsidRPr="00DE4EAF" w:rsidRDefault="00057B1B" w:rsidP="004028EC">
      <w:pPr>
        <w:pStyle w:val="Tabletitle"/>
        <w:spacing w:after="360" w:line="220" w:lineRule="exact"/>
        <w:ind w:left="992" w:hanging="992"/>
      </w:pPr>
      <w:r>
        <w:t>Data requirements for the modelling approaches proposed in Section</w:t>
      </w:r>
      <w:r w:rsidR="00AA0DEB">
        <w:t xml:space="preserve"> </w:t>
      </w:r>
      <w:r w:rsidR="00AA0DEB">
        <w:fldChar w:fldCharType="begin"/>
      </w:r>
      <w:r w:rsidR="00AA0DEB">
        <w:instrText xml:space="preserve"> REF _Ref529192709 \r \h </w:instrText>
      </w:r>
      <w:r w:rsidR="00AA0DEB">
        <w:fldChar w:fldCharType="separate"/>
      </w:r>
      <w:r w:rsidR="00AA0DEB">
        <w:t>1.1.2</w:t>
      </w:r>
      <w:r w:rsidR="00AA0DEB">
        <w:fldChar w:fldCharType="end"/>
      </w:r>
    </w:p>
    <w:tbl>
      <w:tblPr>
        <w:tblStyle w:val="Vividtable"/>
        <w:tblW w:w="9063" w:type="dxa"/>
        <w:tblLook w:val="04A0" w:firstRow="1" w:lastRow="0" w:firstColumn="1" w:lastColumn="0" w:noHBand="0" w:noVBand="1"/>
      </w:tblPr>
      <w:tblGrid>
        <w:gridCol w:w="1855"/>
        <w:gridCol w:w="3604"/>
        <w:gridCol w:w="3604"/>
      </w:tblGrid>
      <w:tr w:rsidR="00DF6468" w:rsidRPr="004028EC" w14:paraId="0581F08E" w14:textId="78E04C0F" w:rsidTr="00DF6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12"/>
          <w:tblHeader/>
        </w:trPr>
        <w:tc>
          <w:tcPr>
            <w:tcW w:w="1023" w:type="pct"/>
            <w:tcBorders>
              <w:bottom w:val="single" w:sz="4" w:space="0" w:color="000000" w:themeColor="text1"/>
            </w:tcBorders>
          </w:tcPr>
          <w:p w14:paraId="404B3625" w14:textId="6302EDA6" w:rsidR="00DF6468" w:rsidRPr="004028EC" w:rsidRDefault="00DF6468" w:rsidP="00DF58B3">
            <w:pPr>
              <w:keepNext/>
              <w:rPr>
                <w:rStyle w:val="PlaceholderText"/>
                <w:rFonts w:cstheme="minorHAnsi"/>
                <w:b w:val="0"/>
                <w:szCs w:val="18"/>
              </w:rPr>
            </w:pPr>
            <w:r>
              <w:rPr>
                <w:rStyle w:val="PlaceholderText"/>
                <w:rFonts w:cstheme="minorHAnsi"/>
                <w:szCs w:val="18"/>
              </w:rPr>
              <w:t>Approach</w:t>
            </w:r>
          </w:p>
        </w:tc>
        <w:tc>
          <w:tcPr>
            <w:tcW w:w="1988" w:type="pct"/>
            <w:tcBorders>
              <w:bottom w:val="single" w:sz="4" w:space="0" w:color="000000" w:themeColor="text1"/>
            </w:tcBorders>
          </w:tcPr>
          <w:p w14:paraId="2068F75E" w14:textId="53BEC2BB" w:rsidR="00DF6468" w:rsidRPr="004028EC" w:rsidRDefault="00DF6468" w:rsidP="00DF58B3">
            <w:pPr>
              <w:keepNext/>
              <w:rPr>
                <w:rStyle w:val="PlaceholderText"/>
                <w:rFonts w:cstheme="minorHAnsi"/>
                <w:b w:val="0"/>
                <w:szCs w:val="18"/>
              </w:rPr>
            </w:pPr>
            <w:r>
              <w:rPr>
                <w:rStyle w:val="PlaceholderText"/>
                <w:rFonts w:cstheme="minorHAnsi"/>
                <w:szCs w:val="18"/>
              </w:rPr>
              <w:t>Data lines required</w:t>
            </w:r>
          </w:p>
        </w:tc>
        <w:tc>
          <w:tcPr>
            <w:tcW w:w="1988" w:type="pct"/>
            <w:tcBorders>
              <w:bottom w:val="single" w:sz="4" w:space="0" w:color="000000" w:themeColor="text1"/>
            </w:tcBorders>
          </w:tcPr>
          <w:p w14:paraId="4FD2E0E5" w14:textId="5B7E4824" w:rsidR="00DF6468" w:rsidRDefault="00031BCE" w:rsidP="00DF58B3">
            <w:pPr>
              <w:keepNext/>
              <w:rPr>
                <w:rStyle w:val="PlaceholderText"/>
                <w:rFonts w:cstheme="minorHAnsi"/>
                <w:szCs w:val="18"/>
              </w:rPr>
            </w:pPr>
            <w:r>
              <w:rPr>
                <w:rStyle w:val="PlaceholderText"/>
                <w:rFonts w:cstheme="minorHAnsi"/>
                <w:szCs w:val="18"/>
              </w:rPr>
              <w:t>Coverage</w:t>
            </w:r>
          </w:p>
        </w:tc>
      </w:tr>
      <w:tr w:rsidR="00DF6468" w:rsidRPr="004028EC" w14:paraId="7DCE0D3C" w14:textId="54AF55F2" w:rsidTr="00DF6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3"/>
        </w:trPr>
        <w:tc>
          <w:tcPr>
            <w:tcW w:w="1023" w:type="pct"/>
            <w:tcBorders>
              <w:top w:val="single" w:sz="4" w:space="0" w:color="000000" w:themeColor="text1"/>
            </w:tcBorders>
          </w:tcPr>
          <w:p w14:paraId="64F62451" w14:textId="258D8244" w:rsidR="00DF6468" w:rsidRPr="004028EC" w:rsidRDefault="00DF6468" w:rsidP="00DF58B3">
            <w:pPr>
              <w:keepNext/>
              <w:spacing w:line="200" w:lineRule="exact"/>
              <w:rPr>
                <w:rStyle w:val="PlaceholderText"/>
                <w:rFonts w:cstheme="minorHAnsi"/>
                <w:szCs w:val="18"/>
              </w:rPr>
            </w:pPr>
            <w:r>
              <w:rPr>
                <w:rStyle w:val="PlaceholderText"/>
                <w:rFonts w:cstheme="minorHAnsi"/>
                <w:szCs w:val="18"/>
              </w:rPr>
              <w:t>Asset-level Z-scores</w:t>
            </w:r>
          </w:p>
        </w:tc>
        <w:tc>
          <w:tcPr>
            <w:tcW w:w="1988" w:type="pct"/>
            <w:tcBorders>
              <w:top w:val="single" w:sz="4" w:space="0" w:color="000000" w:themeColor="text1"/>
            </w:tcBorders>
          </w:tcPr>
          <w:p w14:paraId="2DBD5444" w14:textId="77777777" w:rsidR="00EE06AA" w:rsidRDefault="00EE06AA" w:rsidP="00BC5E86">
            <w:pPr>
              <w:pStyle w:val="ListParagraph"/>
              <w:keepNext/>
              <w:numPr>
                <w:ilvl w:val="0"/>
                <w:numId w:val="19"/>
              </w:numPr>
              <w:spacing w:line="200" w:lineRule="exact"/>
              <w:ind w:left="303"/>
              <w:rPr>
                <w:rStyle w:val="PlaceholderText"/>
                <w:rFonts w:cstheme="minorHAnsi"/>
                <w:szCs w:val="18"/>
              </w:rPr>
            </w:pPr>
            <w:r w:rsidRPr="00EE06AA">
              <w:rPr>
                <w:rStyle w:val="PlaceholderText"/>
                <w:rFonts w:cstheme="minorHAnsi"/>
                <w:szCs w:val="18"/>
              </w:rPr>
              <w:t>Current assets, current liabilities</w:t>
            </w:r>
          </w:p>
          <w:p w14:paraId="6BE7644D" w14:textId="77777777" w:rsidR="00BC5E86" w:rsidRDefault="00113EA1" w:rsidP="00BC5E86">
            <w:pPr>
              <w:pStyle w:val="ListParagraph"/>
              <w:keepNext/>
              <w:numPr>
                <w:ilvl w:val="0"/>
                <w:numId w:val="19"/>
              </w:numPr>
              <w:spacing w:line="200" w:lineRule="exact"/>
              <w:ind w:left="303"/>
              <w:rPr>
                <w:rStyle w:val="PlaceholderText"/>
                <w:rFonts w:cstheme="minorHAnsi"/>
                <w:szCs w:val="18"/>
              </w:rPr>
            </w:pPr>
            <w:r>
              <w:rPr>
                <w:rStyle w:val="PlaceholderText"/>
                <w:rFonts w:cstheme="minorHAnsi"/>
                <w:szCs w:val="18"/>
              </w:rPr>
              <w:t>Total assets, total liabilities</w:t>
            </w:r>
          </w:p>
          <w:p w14:paraId="321E0EB7" w14:textId="77777777" w:rsidR="00113EA1" w:rsidRDefault="00CA2570" w:rsidP="00BC5E86">
            <w:pPr>
              <w:pStyle w:val="ListParagraph"/>
              <w:keepNext/>
              <w:numPr>
                <w:ilvl w:val="0"/>
                <w:numId w:val="19"/>
              </w:numPr>
              <w:spacing w:line="200" w:lineRule="exact"/>
              <w:ind w:left="303"/>
              <w:rPr>
                <w:rStyle w:val="PlaceholderText"/>
                <w:rFonts w:cstheme="minorHAnsi"/>
                <w:szCs w:val="18"/>
              </w:rPr>
            </w:pPr>
            <w:r>
              <w:rPr>
                <w:rStyle w:val="PlaceholderText"/>
                <w:rFonts w:cstheme="minorHAnsi"/>
                <w:szCs w:val="18"/>
              </w:rPr>
              <w:t>EBITDA</w:t>
            </w:r>
          </w:p>
          <w:p w14:paraId="75EC553D" w14:textId="77777777" w:rsidR="00CA2570" w:rsidRDefault="00CA2570" w:rsidP="00BC5E86">
            <w:pPr>
              <w:pStyle w:val="ListParagraph"/>
              <w:keepNext/>
              <w:numPr>
                <w:ilvl w:val="0"/>
                <w:numId w:val="19"/>
              </w:numPr>
              <w:spacing w:line="200" w:lineRule="exact"/>
              <w:ind w:left="303"/>
              <w:rPr>
                <w:rStyle w:val="PlaceholderText"/>
                <w:rFonts w:cstheme="minorHAnsi"/>
                <w:szCs w:val="18"/>
              </w:rPr>
            </w:pPr>
            <w:r>
              <w:rPr>
                <w:rStyle w:val="PlaceholderText"/>
                <w:rFonts w:cstheme="minorHAnsi"/>
                <w:szCs w:val="18"/>
              </w:rPr>
              <w:t>Retained earnings</w:t>
            </w:r>
          </w:p>
          <w:p w14:paraId="41A06641" w14:textId="77777777" w:rsidR="00CA2570" w:rsidRDefault="00CA2570" w:rsidP="00BC5E86">
            <w:pPr>
              <w:pStyle w:val="ListParagraph"/>
              <w:keepNext/>
              <w:numPr>
                <w:ilvl w:val="0"/>
                <w:numId w:val="19"/>
              </w:numPr>
              <w:spacing w:line="200" w:lineRule="exact"/>
              <w:ind w:left="303"/>
              <w:rPr>
                <w:rStyle w:val="PlaceholderText"/>
                <w:rFonts w:cstheme="minorHAnsi"/>
                <w:szCs w:val="18"/>
              </w:rPr>
            </w:pPr>
            <w:commentRangeStart w:id="8"/>
            <w:r>
              <w:rPr>
                <w:rStyle w:val="PlaceholderText"/>
                <w:rFonts w:cstheme="minorHAnsi"/>
                <w:szCs w:val="18"/>
              </w:rPr>
              <w:t>Market value of equity (market cap)</w:t>
            </w:r>
            <w:commentRangeEnd w:id="8"/>
            <w:r>
              <w:rPr>
                <w:rStyle w:val="CommentReference"/>
              </w:rPr>
              <w:commentReference w:id="8"/>
            </w:r>
          </w:p>
          <w:p w14:paraId="51DC221F" w14:textId="2B546100" w:rsidR="00CA2570" w:rsidRPr="00BC5E86" w:rsidRDefault="00DC797B" w:rsidP="00BC5E86">
            <w:pPr>
              <w:pStyle w:val="ListParagraph"/>
              <w:keepNext/>
              <w:numPr>
                <w:ilvl w:val="0"/>
                <w:numId w:val="19"/>
              </w:numPr>
              <w:spacing w:line="200" w:lineRule="exact"/>
              <w:ind w:left="303"/>
              <w:rPr>
                <w:rStyle w:val="PlaceholderText"/>
                <w:rFonts w:cstheme="minorHAnsi"/>
                <w:szCs w:val="18"/>
              </w:rPr>
            </w:pPr>
            <w:r>
              <w:rPr>
                <w:rStyle w:val="PlaceholderText"/>
                <w:rFonts w:cstheme="minorHAnsi"/>
                <w:szCs w:val="18"/>
              </w:rPr>
              <w:t>Net sales</w:t>
            </w:r>
          </w:p>
        </w:tc>
        <w:tc>
          <w:tcPr>
            <w:tcW w:w="1988" w:type="pct"/>
            <w:tcBorders>
              <w:top w:val="single" w:sz="4" w:space="0" w:color="000000" w:themeColor="text1"/>
            </w:tcBorders>
          </w:tcPr>
          <w:p w14:paraId="65810725" w14:textId="4EB1AE27" w:rsidR="00DF6468" w:rsidRPr="004028EC" w:rsidRDefault="00785213" w:rsidP="00DF58B3">
            <w:pPr>
              <w:keepNext/>
              <w:spacing w:line="200" w:lineRule="exact"/>
              <w:rPr>
                <w:rStyle w:val="PlaceholderText"/>
                <w:rFonts w:cstheme="minorHAnsi"/>
                <w:szCs w:val="18"/>
              </w:rPr>
            </w:pPr>
            <w:r>
              <w:rPr>
                <w:rStyle w:val="PlaceholderText"/>
                <w:rFonts w:cstheme="minorHAnsi"/>
                <w:szCs w:val="18"/>
              </w:rPr>
              <w:t>Asset-level for all corporate bonds issued by MSCI ACWI constituents</w:t>
            </w:r>
          </w:p>
        </w:tc>
      </w:tr>
      <w:tr w:rsidR="00DF6468" w:rsidRPr="004028EC" w14:paraId="3299FE04" w14:textId="1C7E49A1" w:rsidTr="00DF6468">
        <w:trPr>
          <w:cantSplit/>
          <w:trHeight w:val="563"/>
        </w:trPr>
        <w:tc>
          <w:tcPr>
            <w:tcW w:w="1023" w:type="pct"/>
          </w:tcPr>
          <w:p w14:paraId="572E835C" w14:textId="358DFC47" w:rsidR="00DF6468" w:rsidRPr="004028EC" w:rsidRDefault="00B86695" w:rsidP="00DF58B3">
            <w:pPr>
              <w:keepNext/>
              <w:spacing w:line="200" w:lineRule="exact"/>
              <w:rPr>
                <w:rStyle w:val="PlaceholderText"/>
                <w:rFonts w:cstheme="minorHAnsi"/>
                <w:szCs w:val="18"/>
              </w:rPr>
            </w:pPr>
            <w:r>
              <w:rPr>
                <w:rStyle w:val="PlaceholderText"/>
                <w:rFonts w:cstheme="minorHAnsi"/>
                <w:szCs w:val="18"/>
              </w:rPr>
              <w:t>Sector</w:t>
            </w:r>
            <w:r w:rsidR="00DD5400">
              <w:rPr>
                <w:rStyle w:val="PlaceholderText"/>
                <w:rFonts w:cstheme="minorHAnsi"/>
                <w:szCs w:val="18"/>
              </w:rPr>
              <w:t>al</w:t>
            </w:r>
            <w:r>
              <w:rPr>
                <w:rStyle w:val="PlaceholderText"/>
                <w:rFonts w:cstheme="minorHAnsi"/>
                <w:szCs w:val="18"/>
              </w:rPr>
              <w:t xml:space="preserve"> </w:t>
            </w:r>
            <w:r w:rsidR="00DF6468">
              <w:rPr>
                <w:rStyle w:val="PlaceholderText"/>
                <w:rFonts w:cstheme="minorHAnsi"/>
                <w:szCs w:val="18"/>
              </w:rPr>
              <w:t>Z-scores</w:t>
            </w:r>
            <w:r>
              <w:rPr>
                <w:rStyle w:val="PlaceholderText"/>
                <w:rFonts w:cstheme="minorHAnsi"/>
                <w:szCs w:val="18"/>
              </w:rPr>
              <w:t xml:space="preserve"> (sector-average</w:t>
            </w:r>
            <w:r w:rsidR="00DD5400">
              <w:rPr>
                <w:rStyle w:val="PlaceholderText"/>
                <w:rFonts w:cstheme="minorHAnsi"/>
                <w:szCs w:val="18"/>
              </w:rPr>
              <w:t xml:space="preserve"> approach</w:t>
            </w:r>
            <w:r>
              <w:rPr>
                <w:rStyle w:val="PlaceholderText"/>
                <w:rFonts w:cstheme="minorHAnsi"/>
                <w:szCs w:val="18"/>
              </w:rPr>
              <w:t>)</w:t>
            </w:r>
          </w:p>
        </w:tc>
        <w:tc>
          <w:tcPr>
            <w:tcW w:w="1988" w:type="pct"/>
          </w:tcPr>
          <w:p w14:paraId="748DB49F" w14:textId="77777777" w:rsidR="00B86695" w:rsidRDefault="00B86695" w:rsidP="00B86695">
            <w:pPr>
              <w:pStyle w:val="ListParagraph"/>
              <w:keepNext/>
              <w:numPr>
                <w:ilvl w:val="0"/>
                <w:numId w:val="19"/>
              </w:numPr>
              <w:spacing w:line="200" w:lineRule="exact"/>
              <w:ind w:left="303"/>
              <w:rPr>
                <w:rStyle w:val="PlaceholderText"/>
                <w:rFonts w:cstheme="minorHAnsi"/>
                <w:szCs w:val="18"/>
              </w:rPr>
            </w:pPr>
            <w:r w:rsidRPr="00EE06AA">
              <w:rPr>
                <w:rStyle w:val="PlaceholderText"/>
                <w:rFonts w:cstheme="minorHAnsi"/>
                <w:szCs w:val="18"/>
              </w:rPr>
              <w:t>Current assets, current liabilities</w:t>
            </w:r>
          </w:p>
          <w:p w14:paraId="7B573E7B" w14:textId="77777777" w:rsidR="00B86695" w:rsidRDefault="00B86695" w:rsidP="00B86695">
            <w:pPr>
              <w:pStyle w:val="ListParagraph"/>
              <w:keepNext/>
              <w:numPr>
                <w:ilvl w:val="0"/>
                <w:numId w:val="19"/>
              </w:numPr>
              <w:spacing w:line="200" w:lineRule="exact"/>
              <w:ind w:left="303"/>
              <w:rPr>
                <w:rStyle w:val="PlaceholderText"/>
                <w:rFonts w:cstheme="minorHAnsi"/>
                <w:szCs w:val="18"/>
              </w:rPr>
            </w:pPr>
            <w:r>
              <w:rPr>
                <w:rStyle w:val="PlaceholderText"/>
                <w:rFonts w:cstheme="minorHAnsi"/>
                <w:szCs w:val="18"/>
              </w:rPr>
              <w:t>Total assets, total liabilities</w:t>
            </w:r>
          </w:p>
          <w:p w14:paraId="5D04E54D" w14:textId="77777777" w:rsidR="00B86695" w:rsidRDefault="00B86695" w:rsidP="00B86695">
            <w:pPr>
              <w:pStyle w:val="ListParagraph"/>
              <w:keepNext/>
              <w:numPr>
                <w:ilvl w:val="0"/>
                <w:numId w:val="19"/>
              </w:numPr>
              <w:spacing w:line="200" w:lineRule="exact"/>
              <w:ind w:left="303"/>
              <w:rPr>
                <w:rStyle w:val="PlaceholderText"/>
                <w:rFonts w:cstheme="minorHAnsi"/>
                <w:szCs w:val="18"/>
              </w:rPr>
            </w:pPr>
            <w:r>
              <w:rPr>
                <w:rStyle w:val="PlaceholderText"/>
                <w:rFonts w:cstheme="minorHAnsi"/>
                <w:szCs w:val="18"/>
              </w:rPr>
              <w:t>EBITDA</w:t>
            </w:r>
          </w:p>
          <w:p w14:paraId="1FDD951D" w14:textId="77777777" w:rsidR="00B86695" w:rsidRDefault="00B86695" w:rsidP="00B86695">
            <w:pPr>
              <w:pStyle w:val="ListParagraph"/>
              <w:keepNext/>
              <w:numPr>
                <w:ilvl w:val="0"/>
                <w:numId w:val="19"/>
              </w:numPr>
              <w:spacing w:line="200" w:lineRule="exact"/>
              <w:ind w:left="303"/>
              <w:rPr>
                <w:rStyle w:val="PlaceholderText"/>
                <w:rFonts w:cstheme="minorHAnsi"/>
                <w:szCs w:val="18"/>
              </w:rPr>
            </w:pPr>
            <w:r>
              <w:rPr>
                <w:rStyle w:val="PlaceholderText"/>
                <w:rFonts w:cstheme="minorHAnsi"/>
                <w:szCs w:val="18"/>
              </w:rPr>
              <w:t>Retained earnings</w:t>
            </w:r>
          </w:p>
          <w:p w14:paraId="1FD890EA" w14:textId="77777777" w:rsidR="00B86695" w:rsidRDefault="00B86695" w:rsidP="00B86695">
            <w:pPr>
              <w:pStyle w:val="ListParagraph"/>
              <w:keepNext/>
              <w:numPr>
                <w:ilvl w:val="0"/>
                <w:numId w:val="19"/>
              </w:numPr>
              <w:spacing w:line="200" w:lineRule="exact"/>
              <w:ind w:left="303"/>
              <w:rPr>
                <w:rStyle w:val="PlaceholderText"/>
                <w:rFonts w:cstheme="minorHAnsi"/>
                <w:szCs w:val="18"/>
              </w:rPr>
            </w:pPr>
            <w:r>
              <w:rPr>
                <w:rStyle w:val="PlaceholderText"/>
                <w:rFonts w:cstheme="minorHAnsi"/>
                <w:szCs w:val="18"/>
              </w:rPr>
              <w:t>Market value of equity (market cap)</w:t>
            </w:r>
          </w:p>
          <w:p w14:paraId="2E724D12" w14:textId="673CBAD6" w:rsidR="00DF6468" w:rsidRPr="00B86695" w:rsidRDefault="00B86695" w:rsidP="00B86695">
            <w:pPr>
              <w:pStyle w:val="ListParagraph"/>
              <w:keepNext/>
              <w:numPr>
                <w:ilvl w:val="0"/>
                <w:numId w:val="19"/>
              </w:numPr>
              <w:spacing w:line="200" w:lineRule="exact"/>
              <w:ind w:left="303"/>
              <w:rPr>
                <w:rStyle w:val="PlaceholderText"/>
                <w:rFonts w:cstheme="minorHAnsi"/>
                <w:szCs w:val="18"/>
              </w:rPr>
            </w:pPr>
            <w:r w:rsidRPr="00B86695">
              <w:rPr>
                <w:rStyle w:val="PlaceholderText"/>
                <w:rFonts w:cstheme="minorHAnsi"/>
                <w:szCs w:val="18"/>
              </w:rPr>
              <w:t>Net sales</w:t>
            </w:r>
          </w:p>
        </w:tc>
        <w:tc>
          <w:tcPr>
            <w:tcW w:w="1988" w:type="pct"/>
          </w:tcPr>
          <w:p w14:paraId="33DB5D29" w14:textId="79E38832" w:rsidR="00DF6468" w:rsidRPr="004028EC" w:rsidRDefault="003A4E29" w:rsidP="00DF58B3">
            <w:pPr>
              <w:keepNext/>
              <w:spacing w:line="200" w:lineRule="exact"/>
              <w:rPr>
                <w:rStyle w:val="PlaceholderText"/>
                <w:rFonts w:cstheme="minorHAnsi"/>
                <w:szCs w:val="18"/>
              </w:rPr>
            </w:pPr>
            <w:r>
              <w:rPr>
                <w:rStyle w:val="PlaceholderText"/>
                <w:rFonts w:cstheme="minorHAnsi"/>
                <w:szCs w:val="18"/>
              </w:rPr>
              <w:t xml:space="preserve">Sector-average data </w:t>
            </w:r>
            <w:r w:rsidRPr="003A4E29">
              <w:rPr>
                <w:rStyle w:val="PlaceholderText"/>
                <w:rFonts w:cstheme="minorHAnsi"/>
                <w:b/>
                <w:szCs w:val="18"/>
              </w:rPr>
              <w:t xml:space="preserve">based on current </w:t>
            </w:r>
            <w:r>
              <w:rPr>
                <w:rStyle w:val="PlaceholderText"/>
                <w:rFonts w:cstheme="minorHAnsi"/>
                <w:b/>
                <w:szCs w:val="18"/>
              </w:rPr>
              <w:t xml:space="preserve">TRBC system </w:t>
            </w:r>
            <w:r w:rsidRPr="003A4E29">
              <w:rPr>
                <w:rStyle w:val="PlaceholderText"/>
                <w:rFonts w:cstheme="minorHAnsi"/>
                <w:b/>
                <w:szCs w:val="18"/>
              </w:rPr>
              <w:t>sector definitions</w:t>
            </w:r>
          </w:p>
        </w:tc>
      </w:tr>
      <w:tr w:rsidR="00B86695" w:rsidRPr="004028EC" w14:paraId="12BFBBDE" w14:textId="77777777" w:rsidTr="00DF6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63"/>
        </w:trPr>
        <w:tc>
          <w:tcPr>
            <w:tcW w:w="1023" w:type="pct"/>
          </w:tcPr>
          <w:p w14:paraId="5DD2D58B" w14:textId="5E4D82E9" w:rsidR="00B86695" w:rsidRDefault="00DD5400" w:rsidP="00B86695">
            <w:pPr>
              <w:keepNext/>
              <w:spacing w:line="200" w:lineRule="exact"/>
              <w:rPr>
                <w:rStyle w:val="PlaceholderText"/>
                <w:rFonts w:cstheme="minorHAnsi"/>
                <w:szCs w:val="18"/>
              </w:rPr>
            </w:pPr>
            <w:r>
              <w:rPr>
                <w:rStyle w:val="PlaceholderText"/>
                <w:rFonts w:cstheme="minorHAnsi"/>
                <w:szCs w:val="18"/>
              </w:rPr>
              <w:t xml:space="preserve">Sectoral </w:t>
            </w:r>
            <w:r w:rsidR="00B86695">
              <w:rPr>
                <w:rStyle w:val="PlaceholderText"/>
                <w:rFonts w:cstheme="minorHAnsi"/>
                <w:szCs w:val="18"/>
              </w:rPr>
              <w:t>Z-scores (archetypes</w:t>
            </w:r>
            <w:r>
              <w:rPr>
                <w:rStyle w:val="PlaceholderText"/>
                <w:rFonts w:cstheme="minorHAnsi"/>
                <w:szCs w:val="18"/>
              </w:rPr>
              <w:t xml:space="preserve"> approach</w:t>
            </w:r>
            <w:r w:rsidR="00B86695">
              <w:rPr>
                <w:rStyle w:val="PlaceholderText"/>
                <w:rFonts w:cstheme="minorHAnsi"/>
                <w:szCs w:val="18"/>
              </w:rPr>
              <w:t>)</w:t>
            </w:r>
          </w:p>
        </w:tc>
        <w:tc>
          <w:tcPr>
            <w:tcW w:w="1988" w:type="pct"/>
          </w:tcPr>
          <w:p w14:paraId="626A185D" w14:textId="77777777" w:rsidR="00B86695" w:rsidRDefault="00B86695" w:rsidP="00B86695">
            <w:pPr>
              <w:pStyle w:val="ListParagraph"/>
              <w:keepNext/>
              <w:numPr>
                <w:ilvl w:val="0"/>
                <w:numId w:val="19"/>
              </w:numPr>
              <w:spacing w:line="200" w:lineRule="exact"/>
              <w:ind w:left="303"/>
              <w:rPr>
                <w:rStyle w:val="PlaceholderText"/>
                <w:rFonts w:cstheme="minorHAnsi"/>
                <w:szCs w:val="18"/>
              </w:rPr>
            </w:pPr>
            <w:r w:rsidRPr="00EE06AA">
              <w:rPr>
                <w:rStyle w:val="PlaceholderText"/>
                <w:rFonts w:cstheme="minorHAnsi"/>
                <w:szCs w:val="18"/>
              </w:rPr>
              <w:t>Current assets, current liabilities</w:t>
            </w:r>
          </w:p>
          <w:p w14:paraId="1B35A5BE" w14:textId="77777777" w:rsidR="00B86695" w:rsidRDefault="00B86695" w:rsidP="00B86695">
            <w:pPr>
              <w:pStyle w:val="ListParagraph"/>
              <w:keepNext/>
              <w:numPr>
                <w:ilvl w:val="0"/>
                <w:numId w:val="19"/>
              </w:numPr>
              <w:spacing w:line="200" w:lineRule="exact"/>
              <w:ind w:left="303"/>
              <w:rPr>
                <w:rStyle w:val="PlaceholderText"/>
                <w:rFonts w:cstheme="minorHAnsi"/>
                <w:szCs w:val="18"/>
              </w:rPr>
            </w:pPr>
            <w:r>
              <w:rPr>
                <w:rStyle w:val="PlaceholderText"/>
                <w:rFonts w:cstheme="minorHAnsi"/>
                <w:szCs w:val="18"/>
              </w:rPr>
              <w:t>Total assets, total liabilities</w:t>
            </w:r>
          </w:p>
          <w:p w14:paraId="74242A75" w14:textId="77777777" w:rsidR="00B86695" w:rsidRDefault="00B86695" w:rsidP="00B86695">
            <w:pPr>
              <w:pStyle w:val="ListParagraph"/>
              <w:keepNext/>
              <w:numPr>
                <w:ilvl w:val="0"/>
                <w:numId w:val="19"/>
              </w:numPr>
              <w:spacing w:line="200" w:lineRule="exact"/>
              <w:ind w:left="303"/>
              <w:rPr>
                <w:rStyle w:val="PlaceholderText"/>
                <w:rFonts w:cstheme="minorHAnsi"/>
                <w:szCs w:val="18"/>
              </w:rPr>
            </w:pPr>
            <w:r>
              <w:rPr>
                <w:rStyle w:val="PlaceholderText"/>
                <w:rFonts w:cstheme="minorHAnsi"/>
                <w:szCs w:val="18"/>
              </w:rPr>
              <w:t>EBITDA</w:t>
            </w:r>
          </w:p>
          <w:p w14:paraId="2A7DD2CD" w14:textId="77777777" w:rsidR="00B86695" w:rsidRDefault="00B86695" w:rsidP="00B86695">
            <w:pPr>
              <w:pStyle w:val="ListParagraph"/>
              <w:keepNext/>
              <w:numPr>
                <w:ilvl w:val="0"/>
                <w:numId w:val="19"/>
              </w:numPr>
              <w:spacing w:line="200" w:lineRule="exact"/>
              <w:ind w:left="303"/>
              <w:rPr>
                <w:rStyle w:val="PlaceholderText"/>
                <w:rFonts w:cstheme="minorHAnsi"/>
                <w:szCs w:val="18"/>
              </w:rPr>
            </w:pPr>
            <w:r>
              <w:rPr>
                <w:rStyle w:val="PlaceholderText"/>
                <w:rFonts w:cstheme="minorHAnsi"/>
                <w:szCs w:val="18"/>
              </w:rPr>
              <w:t>Retained earnings</w:t>
            </w:r>
          </w:p>
          <w:p w14:paraId="380CC589" w14:textId="77777777" w:rsidR="00B86695" w:rsidRDefault="00B86695" w:rsidP="00B86695">
            <w:pPr>
              <w:pStyle w:val="ListParagraph"/>
              <w:keepNext/>
              <w:numPr>
                <w:ilvl w:val="0"/>
                <w:numId w:val="19"/>
              </w:numPr>
              <w:spacing w:line="200" w:lineRule="exact"/>
              <w:ind w:left="303"/>
              <w:rPr>
                <w:rStyle w:val="PlaceholderText"/>
                <w:rFonts w:cstheme="minorHAnsi"/>
                <w:szCs w:val="18"/>
              </w:rPr>
            </w:pPr>
            <w:r>
              <w:rPr>
                <w:rStyle w:val="PlaceholderText"/>
                <w:rFonts w:cstheme="minorHAnsi"/>
                <w:szCs w:val="18"/>
              </w:rPr>
              <w:t>Market value of equity (market cap)</w:t>
            </w:r>
          </w:p>
          <w:p w14:paraId="7C5711CE" w14:textId="5D02E20C" w:rsidR="00B86695" w:rsidRPr="00EE06AA" w:rsidRDefault="00B86695" w:rsidP="00B86695">
            <w:pPr>
              <w:pStyle w:val="ListParagraph"/>
              <w:keepNext/>
              <w:numPr>
                <w:ilvl w:val="0"/>
                <w:numId w:val="19"/>
              </w:numPr>
              <w:spacing w:line="200" w:lineRule="exact"/>
              <w:ind w:left="303"/>
              <w:rPr>
                <w:rStyle w:val="PlaceholderText"/>
                <w:rFonts w:cstheme="minorHAnsi"/>
                <w:szCs w:val="18"/>
              </w:rPr>
            </w:pPr>
            <w:r w:rsidRPr="00B86695">
              <w:rPr>
                <w:rStyle w:val="PlaceholderText"/>
                <w:rFonts w:cstheme="minorHAnsi"/>
                <w:szCs w:val="18"/>
              </w:rPr>
              <w:t>Net sales</w:t>
            </w:r>
          </w:p>
        </w:tc>
        <w:tc>
          <w:tcPr>
            <w:tcW w:w="1988" w:type="pct"/>
          </w:tcPr>
          <w:p w14:paraId="335303A6" w14:textId="40783E6F" w:rsidR="00B86695" w:rsidRDefault="0043758F" w:rsidP="00B86695">
            <w:pPr>
              <w:keepNext/>
              <w:spacing w:line="200" w:lineRule="exact"/>
              <w:rPr>
                <w:rStyle w:val="PlaceholderText"/>
                <w:rFonts w:cstheme="minorHAnsi"/>
                <w:szCs w:val="18"/>
              </w:rPr>
            </w:pPr>
            <w:r>
              <w:rPr>
                <w:rStyle w:val="PlaceholderText"/>
                <w:rFonts w:cstheme="minorHAnsi"/>
                <w:szCs w:val="18"/>
              </w:rPr>
              <w:t>2 – 5 typical companies within each sector (for instance, Shell, Exxon and Total for oil &amp; gas)</w:t>
            </w:r>
            <w:r w:rsidR="001E36EA">
              <w:rPr>
                <w:rStyle w:val="PlaceholderText"/>
                <w:rFonts w:cstheme="minorHAnsi"/>
                <w:szCs w:val="18"/>
              </w:rPr>
              <w:t xml:space="preserve">, </w:t>
            </w:r>
            <w:r w:rsidR="001E36EA" w:rsidRPr="003A4E29">
              <w:rPr>
                <w:rStyle w:val="PlaceholderText"/>
                <w:rFonts w:cstheme="minorHAnsi"/>
                <w:b/>
                <w:szCs w:val="18"/>
              </w:rPr>
              <w:t xml:space="preserve">based on current </w:t>
            </w:r>
            <w:r w:rsidR="001E36EA">
              <w:rPr>
                <w:rStyle w:val="PlaceholderText"/>
                <w:rFonts w:cstheme="minorHAnsi"/>
                <w:b/>
                <w:szCs w:val="18"/>
              </w:rPr>
              <w:t xml:space="preserve">TRBC system </w:t>
            </w:r>
            <w:r w:rsidR="001E36EA" w:rsidRPr="003A4E29">
              <w:rPr>
                <w:rStyle w:val="PlaceholderText"/>
                <w:rFonts w:cstheme="minorHAnsi"/>
                <w:b/>
                <w:szCs w:val="18"/>
              </w:rPr>
              <w:t>sector definitions</w:t>
            </w:r>
          </w:p>
        </w:tc>
      </w:tr>
    </w:tbl>
    <w:p w14:paraId="58B2B28C" w14:textId="77777777" w:rsidR="007F6A00" w:rsidRPr="00820511" w:rsidRDefault="007F6A00" w:rsidP="00DF58B3">
      <w:pPr>
        <w:pStyle w:val="Header"/>
        <w:pBdr>
          <w:bottom w:val="none" w:sz="0" w:space="0" w:color="auto"/>
        </w:pBdr>
      </w:pPr>
    </w:p>
    <w:p w14:paraId="0EC41971" w14:textId="7A858AA7" w:rsidR="007E1EF4" w:rsidRPr="007E1EF4" w:rsidRDefault="007F6A00" w:rsidP="0039337C">
      <w:pPr>
        <w:pStyle w:val="Source"/>
      </w:pPr>
      <w:r w:rsidRPr="00EF51BF">
        <w:t>Source:</w:t>
      </w:r>
      <w:r>
        <w:tab/>
        <w:t>Vivid Economics</w:t>
      </w:r>
    </w:p>
    <w:sectPr w:rsidR="007E1EF4" w:rsidRPr="007E1EF4" w:rsidSect="002C224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1077" w:footer="34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hyamal Patel" w:date="2018-11-05T14:55:00Z" w:initials="SP">
    <w:p w14:paraId="2FC3F85D" w14:textId="77777777" w:rsidR="0009659A" w:rsidRDefault="0009659A">
      <w:pPr>
        <w:pStyle w:val="CommentText"/>
      </w:pPr>
      <w:r>
        <w:rPr>
          <w:rStyle w:val="CommentReference"/>
        </w:rPr>
        <w:annotationRef/>
      </w:r>
      <w:r>
        <w:t>@TN and @SP – use NPV revenue and EBITDA for term X3 and X5</w:t>
      </w:r>
    </w:p>
    <w:p w14:paraId="21D72964" w14:textId="77777777" w:rsidR="006A2C34" w:rsidRDefault="006A2C34">
      <w:pPr>
        <w:pStyle w:val="CommentText"/>
      </w:pPr>
    </w:p>
    <w:p w14:paraId="1DC9FEEB" w14:textId="411FC58D" w:rsidR="006A2C34" w:rsidRDefault="006A2C34">
      <w:pPr>
        <w:pStyle w:val="CommentText"/>
      </w:pPr>
      <w:r>
        <w:t>Compare against in-year values using the spreadsheet tool.</w:t>
      </w:r>
    </w:p>
  </w:comment>
  <w:comment w:id="2" w:author="Shyamal Patel" w:date="2018-11-05T11:26:00Z" w:initials="SP">
    <w:p w14:paraId="6F7C3A24" w14:textId="77777777" w:rsidR="008D6D4E" w:rsidRDefault="008D6D4E" w:rsidP="008D6D4E">
      <w:pPr>
        <w:pStyle w:val="CommentText"/>
      </w:pPr>
      <w:r>
        <w:rPr>
          <w:rStyle w:val="CommentReference"/>
        </w:rPr>
        <w:annotationRef/>
      </w:r>
      <w:r>
        <w:t>@TN – the effect of each scenario on EBITDA and Market value of equity (market cap) can be estimated.</w:t>
      </w:r>
    </w:p>
    <w:p w14:paraId="0BCF5D35" w14:textId="77777777" w:rsidR="008D6D4E" w:rsidRDefault="008D6D4E" w:rsidP="008D6D4E">
      <w:pPr>
        <w:pStyle w:val="CommentText"/>
      </w:pPr>
    </w:p>
    <w:p w14:paraId="2D3783E9" w14:textId="77777777" w:rsidR="008D6D4E" w:rsidRDefault="008D6D4E" w:rsidP="008D6D4E">
      <w:pPr>
        <w:pStyle w:val="CommentText"/>
      </w:pPr>
      <w:r>
        <w:t>We will then have to assume that total assets and liabilities are constant across scenarios.</w:t>
      </w:r>
    </w:p>
  </w:comment>
  <w:comment w:id="7" w:author="Shyamal Patel" w:date="2018-11-05T15:10:00Z" w:initials="SP">
    <w:p w14:paraId="0B8C498B" w14:textId="7DAF0B35" w:rsidR="00C15D03" w:rsidRDefault="00C15D03">
      <w:pPr>
        <w:pStyle w:val="CommentText"/>
      </w:pPr>
      <w:r>
        <w:rPr>
          <w:rStyle w:val="CommentReference"/>
        </w:rPr>
        <w:annotationRef/>
      </w:r>
      <w:r>
        <w:t>Please note that consistency with our current sectoral classification system (Thomson Reuters Business Classification – TRBC) is essential</w:t>
      </w:r>
      <w:r w:rsidR="00AF4136">
        <w:t xml:space="preserve"> if we are using one of the sector-based approaches proposed below.</w:t>
      </w:r>
    </w:p>
  </w:comment>
  <w:comment w:id="8" w:author="Shyamal Patel" w:date="2018-11-05T12:08:00Z" w:initials="SP">
    <w:p w14:paraId="417FB2F1" w14:textId="1CEDF601" w:rsidR="00CA2570" w:rsidRDefault="00CA2570">
      <w:pPr>
        <w:pStyle w:val="CommentText"/>
      </w:pPr>
      <w:r>
        <w:rPr>
          <w:rStyle w:val="CommentReference"/>
        </w:rPr>
        <w:annotationRef/>
      </w:r>
      <w:r>
        <w:t>Already have this for all MSCI ACWI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C9FEEB" w15:done="0"/>
  <w15:commentEx w15:paraId="2D3783E9" w15:done="0"/>
  <w15:commentEx w15:paraId="0B8C498B" w15:done="0"/>
  <w15:commentEx w15:paraId="417FB2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C9FEEB" w16cid:durableId="1F8AD855"/>
  <w16cid:commentId w16cid:paraId="2D3783E9" w16cid:durableId="1F8AA780"/>
  <w16cid:commentId w16cid:paraId="0B8C498B" w16cid:durableId="1F8ADBFB"/>
  <w16cid:commentId w16cid:paraId="417FB2F1" w16cid:durableId="1F8AB1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8106B" w14:textId="77777777" w:rsidR="008E03DB" w:rsidRDefault="008E03DB" w:rsidP="00AB14FC">
      <w:r>
        <w:separator/>
      </w:r>
    </w:p>
  </w:endnote>
  <w:endnote w:type="continuationSeparator" w:id="0">
    <w:p w14:paraId="2E14D66D" w14:textId="77777777" w:rsidR="008E03DB" w:rsidRDefault="008E03DB" w:rsidP="00AB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95E0D" w14:textId="77777777" w:rsidR="003B484E" w:rsidRPr="00AB14FC" w:rsidRDefault="00524F3E" w:rsidP="00AB14FC">
    <w:pPr>
      <w:pStyle w:val="Footer"/>
      <w:jc w:val="center"/>
      <w:rPr>
        <w:rFonts w:ascii="Palatino Linotype" w:hAnsi="Palatino Linotype"/>
        <w:sz w:val="18"/>
        <w:szCs w:val="18"/>
      </w:rPr>
    </w:pPr>
    <w:sdt>
      <w:sdtPr>
        <w:id w:val="17136464"/>
        <w:docPartObj>
          <w:docPartGallery w:val="Page Numbers (Bottom of Page)"/>
          <w:docPartUnique/>
        </w:docPartObj>
      </w:sdtPr>
      <w:sdtEndPr>
        <w:rPr>
          <w:rFonts w:ascii="Palatino Linotype" w:hAnsi="Palatino Linotype"/>
          <w:sz w:val="18"/>
          <w:szCs w:val="18"/>
        </w:rPr>
      </w:sdtEndPr>
      <w:sdtContent>
        <w:r w:rsidR="003B484E" w:rsidRPr="00AB14FC">
          <w:rPr>
            <w:rFonts w:ascii="Palatino Linotype" w:hAnsi="Palatino Linotype"/>
            <w:sz w:val="18"/>
            <w:szCs w:val="18"/>
          </w:rPr>
          <w:fldChar w:fldCharType="begin"/>
        </w:r>
        <w:r w:rsidR="003B484E" w:rsidRPr="00AB14FC">
          <w:rPr>
            <w:rFonts w:ascii="Palatino Linotype" w:hAnsi="Palatino Linotype"/>
            <w:sz w:val="18"/>
            <w:szCs w:val="18"/>
          </w:rPr>
          <w:instrText xml:space="preserve"> PAGE   \* MERGEFORMAT </w:instrText>
        </w:r>
        <w:r w:rsidR="003B484E" w:rsidRPr="00AB14FC">
          <w:rPr>
            <w:rFonts w:ascii="Palatino Linotype" w:hAnsi="Palatino Linotype"/>
            <w:sz w:val="18"/>
            <w:szCs w:val="18"/>
          </w:rPr>
          <w:fldChar w:fldCharType="separate"/>
        </w:r>
        <w:r w:rsidR="003B484E">
          <w:rPr>
            <w:rFonts w:ascii="Palatino Linotype" w:hAnsi="Palatino Linotype"/>
            <w:noProof/>
            <w:sz w:val="18"/>
            <w:szCs w:val="18"/>
          </w:rPr>
          <w:t>2</w:t>
        </w:r>
        <w:r w:rsidR="003B484E" w:rsidRPr="00AB14FC">
          <w:rPr>
            <w:rFonts w:ascii="Palatino Linotype" w:hAnsi="Palatino Linotype"/>
            <w:sz w:val="18"/>
            <w:szCs w:val="18"/>
          </w:rPr>
          <w:fldChar w:fldCharType="end"/>
        </w:r>
      </w:sdtContent>
    </w:sdt>
  </w:p>
  <w:p w14:paraId="1379DD23" w14:textId="77777777" w:rsidR="003B484E" w:rsidRDefault="003B48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48526" w14:textId="77777777" w:rsidR="003B484E" w:rsidRDefault="008E03DB" w:rsidP="00CA54EA">
    <w:pPr>
      <w:pStyle w:val="Footer"/>
      <w:jc w:val="right"/>
    </w:pPr>
    <w:r>
      <w:t>Shyamal Patel</w:t>
    </w:r>
  </w:p>
  <w:p w14:paraId="6B74EC00" w14:textId="49058BA8" w:rsidR="003B484E" w:rsidRDefault="008E03DB" w:rsidP="00CA54EA">
    <w:pPr>
      <w:pStyle w:val="Footer"/>
      <w:jc w:val="right"/>
    </w:pPr>
    <w:r>
      <w:t>0</w:t>
    </w:r>
    <w:r w:rsidR="00E91B0E">
      <w:t>5</w:t>
    </w:r>
    <w:r>
      <w:t>/11/18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92DAA" w14:textId="77777777" w:rsidR="008E03DB" w:rsidRDefault="008E03DB" w:rsidP="00AB14FC">
      <w:r>
        <w:separator/>
      </w:r>
    </w:p>
  </w:footnote>
  <w:footnote w:type="continuationSeparator" w:id="0">
    <w:p w14:paraId="7CE21F5F" w14:textId="77777777" w:rsidR="008E03DB" w:rsidRDefault="008E03DB" w:rsidP="00AB1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F66A2" w14:textId="77777777" w:rsidR="003B484E" w:rsidRDefault="003B484E" w:rsidP="00696387">
    <w:pPr>
      <w:pStyle w:val="Header"/>
      <w:spacing w:line="240" w:lineRule="auto"/>
    </w:pPr>
    <w:r w:rsidRPr="00AB14FC">
      <w:drawing>
        <wp:inline distT="0" distB="0" distL="0" distR="0" wp14:anchorId="77F48C55" wp14:editId="7BB894CF">
          <wp:extent cx="2019300" cy="200025"/>
          <wp:effectExtent l="19050" t="0" r="0" b="0"/>
          <wp:docPr id="1" name="Picture 1" descr="C:\Users\VIVIDA~1\AppData\AppData\Local\Microsoft\Windows\Temporary Internet Files\Content.Outlook\D1INUWPC\January\Macintosh HD:Users:charlottedewar:Desktop:people brands work:Robin's project:artwork:logo:vivid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VIDA~1\AppData\AppData\Local\Microsoft\Windows\Temporary Internet Files\Content.Outlook\D1INUWPC\January\Macintosh HD:Users:charlottedewar:Desktop:people brands work:Robin's project:artwork:logo:vivid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0F1082E" w14:textId="77777777" w:rsidR="003B484E" w:rsidRDefault="003B48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E0335" w14:textId="77777777" w:rsidR="003B484E" w:rsidRDefault="003B484E" w:rsidP="00352AB1">
    <w:pPr>
      <w:pStyle w:val="Header"/>
      <w:spacing w:line="240" w:lineRule="auto"/>
    </w:pPr>
    <w:r>
      <w:drawing>
        <wp:anchor distT="0" distB="0" distL="114300" distR="114300" simplePos="0" relativeHeight="251658240" behindDoc="0" locked="0" layoutInCell="1" allowOverlap="1" wp14:anchorId="7331B3D2" wp14:editId="54CC6B69">
          <wp:simplePos x="0" y="0"/>
          <wp:positionH relativeFrom="margin">
            <wp:posOffset>4152900</wp:posOffset>
          </wp:positionH>
          <wp:positionV relativeFrom="margin">
            <wp:posOffset>-395605</wp:posOffset>
          </wp:positionV>
          <wp:extent cx="2019300" cy="200025"/>
          <wp:effectExtent l="19050" t="0" r="0" b="0"/>
          <wp:wrapSquare wrapText="bothSides"/>
          <wp:docPr id="5" name="Picture 1" descr="C:\Users\VIVIDA~1\AppData\AppData\Local\Microsoft\Windows\Temporary Internet Files\Content.Outlook\D1INUWPC\January\Macintosh HD:Users:charlottedewar:Desktop:people brands work:Robin's project:artwork:logo:vivid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VIDA~1\AppData\AppData\Local\Microsoft\Windows\Temporary Internet Files\Content.Outlook\D1INUWPC\January\Macintosh HD:Users:charlottedewar:Desktop:people brands work:Robin's project:artwork:logo:vivid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A7DDE6B" w14:textId="77777777" w:rsidR="003B484E" w:rsidRDefault="003B484E" w:rsidP="007E1EF4">
    <w:pPr>
      <w:pStyle w:val="Header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2F5"/>
    <w:multiLevelType w:val="hybridMultilevel"/>
    <w:tmpl w:val="C92C42BE"/>
    <w:lvl w:ilvl="0" w:tplc="739EDDD4">
      <w:start w:val="1"/>
      <w:numFmt w:val="decimal"/>
      <w:pStyle w:val="Charttitle"/>
      <w:lvlText w:val="Figure %1."/>
      <w:lvlJc w:val="left"/>
      <w:pPr>
        <w:ind w:left="360" w:hanging="360"/>
      </w:pPr>
      <w:rPr>
        <w:rFonts w:ascii="Cambria" w:hAnsi="Cambria" w:hint="default"/>
        <w:b w:val="0"/>
        <w:i/>
        <w:caps w:val="0"/>
        <w:strike w:val="0"/>
        <w:dstrike w:val="0"/>
        <w:vanish w:val="0"/>
        <w:color w:val="000000" w:themeColor="text1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D368A"/>
    <w:multiLevelType w:val="hybridMultilevel"/>
    <w:tmpl w:val="11289742"/>
    <w:lvl w:ilvl="0" w:tplc="429A7454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54A5F"/>
    <w:multiLevelType w:val="hybridMultilevel"/>
    <w:tmpl w:val="CEFC14BA"/>
    <w:lvl w:ilvl="0" w:tplc="81588DA0">
      <w:start w:val="1"/>
      <w:numFmt w:val="decimal"/>
      <w:pStyle w:val="Boxtitle"/>
      <w:lvlText w:val="Box %1."/>
      <w:lvlJc w:val="left"/>
      <w:pPr>
        <w:ind w:left="360" w:hanging="360"/>
      </w:pPr>
      <w:rPr>
        <w:rFonts w:ascii="Cambria" w:hAnsi="Cambria" w:hint="default"/>
        <w:b w:val="0"/>
        <w:i/>
        <w:caps w:val="0"/>
        <w:strike w:val="0"/>
        <w:dstrike w:val="0"/>
        <w:vanish w:val="0"/>
        <w:color w:val="000000" w:themeColor="text1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F4811"/>
    <w:multiLevelType w:val="hybridMultilevel"/>
    <w:tmpl w:val="092E71B6"/>
    <w:lvl w:ilvl="0" w:tplc="429A7454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96090"/>
    <w:multiLevelType w:val="hybridMultilevel"/>
    <w:tmpl w:val="A08212FC"/>
    <w:lvl w:ilvl="0" w:tplc="429A7454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D3278"/>
    <w:multiLevelType w:val="multilevel"/>
    <w:tmpl w:val="FA7061F0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3556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6B223CE"/>
    <w:multiLevelType w:val="hybridMultilevel"/>
    <w:tmpl w:val="A672D136"/>
    <w:lvl w:ilvl="0" w:tplc="429A7454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F0B25"/>
    <w:multiLevelType w:val="hybridMultilevel"/>
    <w:tmpl w:val="ABCE7DF8"/>
    <w:lvl w:ilvl="0" w:tplc="AA1217A2">
      <w:numFmt w:val="bullet"/>
      <w:pStyle w:val="Dashedbullets"/>
      <w:lvlText w:val="—"/>
      <w:lvlJc w:val="left"/>
      <w:pPr>
        <w:ind w:left="360" w:hanging="360"/>
      </w:pPr>
      <w:rPr>
        <w:rFonts w:ascii="Arial" w:eastAsiaTheme="minorHAnsi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A2B25"/>
    <w:multiLevelType w:val="hybridMultilevel"/>
    <w:tmpl w:val="C074C6BC"/>
    <w:lvl w:ilvl="0" w:tplc="5306719A">
      <w:start w:val="1"/>
      <w:numFmt w:val="decimal"/>
      <w:pStyle w:val="Tabletitle"/>
      <w:lvlText w:val="Table %1."/>
      <w:lvlJc w:val="left"/>
      <w:pPr>
        <w:ind w:left="360" w:hanging="360"/>
      </w:pPr>
      <w:rPr>
        <w:rFonts w:ascii="Cambria" w:hAnsi="Cambria" w:hint="default"/>
        <w:b w:val="0"/>
        <w:bCs w:val="0"/>
        <w:i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F4936"/>
    <w:multiLevelType w:val="hybridMultilevel"/>
    <w:tmpl w:val="C7521EE8"/>
    <w:lvl w:ilvl="0" w:tplc="429A7454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41E80"/>
    <w:multiLevelType w:val="hybridMultilevel"/>
    <w:tmpl w:val="85FC84EA"/>
    <w:lvl w:ilvl="0" w:tplc="429A7454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7"/>
  </w:num>
  <w:num w:numId="15">
    <w:abstractNumId w:val="8"/>
  </w:num>
  <w:num w:numId="16">
    <w:abstractNumId w:val="5"/>
  </w:num>
  <w:num w:numId="17">
    <w:abstractNumId w:val="3"/>
  </w:num>
  <w:num w:numId="18">
    <w:abstractNumId w:val="10"/>
  </w:num>
  <w:num w:numId="19">
    <w:abstractNumId w:val="6"/>
  </w:num>
  <w:num w:numId="20">
    <w:abstractNumId w:val="4"/>
  </w:num>
  <w:num w:numId="21">
    <w:abstractNumId w:val="1"/>
  </w:num>
  <w:num w:numId="2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yamal Patel">
    <w15:presenceInfo w15:providerId="None" w15:userId="Shyamal Pat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DB"/>
    <w:rsid w:val="00012CCA"/>
    <w:rsid w:val="0001709D"/>
    <w:rsid w:val="000232F6"/>
    <w:rsid w:val="00031BCE"/>
    <w:rsid w:val="00032751"/>
    <w:rsid w:val="00055978"/>
    <w:rsid w:val="00057B1B"/>
    <w:rsid w:val="000636CF"/>
    <w:rsid w:val="000646AF"/>
    <w:rsid w:val="00082837"/>
    <w:rsid w:val="00090E25"/>
    <w:rsid w:val="0009253E"/>
    <w:rsid w:val="0009659A"/>
    <w:rsid w:val="00097BBC"/>
    <w:rsid w:val="000A777E"/>
    <w:rsid w:val="000D140F"/>
    <w:rsid w:val="000D16C8"/>
    <w:rsid w:val="000D7165"/>
    <w:rsid w:val="000E47C0"/>
    <w:rsid w:val="00113EA1"/>
    <w:rsid w:val="00117EA7"/>
    <w:rsid w:val="001357E1"/>
    <w:rsid w:val="001366E6"/>
    <w:rsid w:val="00140470"/>
    <w:rsid w:val="00143451"/>
    <w:rsid w:val="00153B26"/>
    <w:rsid w:val="00155C5D"/>
    <w:rsid w:val="00170726"/>
    <w:rsid w:val="001919E0"/>
    <w:rsid w:val="001A7F7D"/>
    <w:rsid w:val="001C7264"/>
    <w:rsid w:val="001E099E"/>
    <w:rsid w:val="001E36EA"/>
    <w:rsid w:val="001F71E8"/>
    <w:rsid w:val="0020773C"/>
    <w:rsid w:val="0021038A"/>
    <w:rsid w:val="00233E68"/>
    <w:rsid w:val="00236A2B"/>
    <w:rsid w:val="002505E7"/>
    <w:rsid w:val="00256096"/>
    <w:rsid w:val="00260C41"/>
    <w:rsid w:val="00266131"/>
    <w:rsid w:val="00266CC1"/>
    <w:rsid w:val="00271AAE"/>
    <w:rsid w:val="00277DBE"/>
    <w:rsid w:val="00291918"/>
    <w:rsid w:val="002921FD"/>
    <w:rsid w:val="00292EF9"/>
    <w:rsid w:val="00296F0A"/>
    <w:rsid w:val="002A5376"/>
    <w:rsid w:val="002A7556"/>
    <w:rsid w:val="002B1232"/>
    <w:rsid w:val="002C15EE"/>
    <w:rsid w:val="002C2240"/>
    <w:rsid w:val="0030436C"/>
    <w:rsid w:val="00320A81"/>
    <w:rsid w:val="00352780"/>
    <w:rsid w:val="00352AB1"/>
    <w:rsid w:val="0036260D"/>
    <w:rsid w:val="00367CA4"/>
    <w:rsid w:val="0039337C"/>
    <w:rsid w:val="003A4E29"/>
    <w:rsid w:val="003B484E"/>
    <w:rsid w:val="003B613E"/>
    <w:rsid w:val="00411711"/>
    <w:rsid w:val="004148AB"/>
    <w:rsid w:val="00414C5E"/>
    <w:rsid w:val="0042177E"/>
    <w:rsid w:val="0043758F"/>
    <w:rsid w:val="004452DD"/>
    <w:rsid w:val="0046769A"/>
    <w:rsid w:val="00467D3A"/>
    <w:rsid w:val="00472C55"/>
    <w:rsid w:val="00477587"/>
    <w:rsid w:val="004801BA"/>
    <w:rsid w:val="00485FF1"/>
    <w:rsid w:val="00487F22"/>
    <w:rsid w:val="0049096F"/>
    <w:rsid w:val="004911DF"/>
    <w:rsid w:val="00493848"/>
    <w:rsid w:val="004C6C3D"/>
    <w:rsid w:val="004D413C"/>
    <w:rsid w:val="005044B6"/>
    <w:rsid w:val="005109E4"/>
    <w:rsid w:val="00514FEB"/>
    <w:rsid w:val="00515D7F"/>
    <w:rsid w:val="00524F3E"/>
    <w:rsid w:val="00535380"/>
    <w:rsid w:val="00540113"/>
    <w:rsid w:val="00550C70"/>
    <w:rsid w:val="00552C2E"/>
    <w:rsid w:val="00554598"/>
    <w:rsid w:val="00562608"/>
    <w:rsid w:val="00562A9E"/>
    <w:rsid w:val="00563A4D"/>
    <w:rsid w:val="005A5C25"/>
    <w:rsid w:val="005B74D5"/>
    <w:rsid w:val="005C480B"/>
    <w:rsid w:val="005D75DB"/>
    <w:rsid w:val="0060066E"/>
    <w:rsid w:val="0061542F"/>
    <w:rsid w:val="00637D10"/>
    <w:rsid w:val="00647D5E"/>
    <w:rsid w:val="00650ADE"/>
    <w:rsid w:val="00673FE9"/>
    <w:rsid w:val="006776BE"/>
    <w:rsid w:val="0068064C"/>
    <w:rsid w:val="00692883"/>
    <w:rsid w:val="00696387"/>
    <w:rsid w:val="006A2C34"/>
    <w:rsid w:val="006C02E9"/>
    <w:rsid w:val="006E0F68"/>
    <w:rsid w:val="006E12B9"/>
    <w:rsid w:val="006E4B89"/>
    <w:rsid w:val="006F3187"/>
    <w:rsid w:val="0072274A"/>
    <w:rsid w:val="007400C7"/>
    <w:rsid w:val="007412E6"/>
    <w:rsid w:val="00741430"/>
    <w:rsid w:val="00746BAC"/>
    <w:rsid w:val="00757C57"/>
    <w:rsid w:val="00760048"/>
    <w:rsid w:val="00767252"/>
    <w:rsid w:val="00781544"/>
    <w:rsid w:val="00785213"/>
    <w:rsid w:val="00786CD8"/>
    <w:rsid w:val="00791574"/>
    <w:rsid w:val="007979D8"/>
    <w:rsid w:val="007A277D"/>
    <w:rsid w:val="007A4185"/>
    <w:rsid w:val="007B5181"/>
    <w:rsid w:val="007E1EF4"/>
    <w:rsid w:val="007E3605"/>
    <w:rsid w:val="007E74C6"/>
    <w:rsid w:val="007F24B3"/>
    <w:rsid w:val="007F5B7B"/>
    <w:rsid w:val="007F6A00"/>
    <w:rsid w:val="00802D81"/>
    <w:rsid w:val="00806AF0"/>
    <w:rsid w:val="008321D6"/>
    <w:rsid w:val="00842E84"/>
    <w:rsid w:val="00856C0F"/>
    <w:rsid w:val="0085719B"/>
    <w:rsid w:val="00873130"/>
    <w:rsid w:val="0088350E"/>
    <w:rsid w:val="00893AB6"/>
    <w:rsid w:val="008B1FC5"/>
    <w:rsid w:val="008C1209"/>
    <w:rsid w:val="008C5634"/>
    <w:rsid w:val="008D6D4E"/>
    <w:rsid w:val="008E03DB"/>
    <w:rsid w:val="008E3DC9"/>
    <w:rsid w:val="008F3E59"/>
    <w:rsid w:val="008F62AA"/>
    <w:rsid w:val="00903238"/>
    <w:rsid w:val="009058F2"/>
    <w:rsid w:val="009335C9"/>
    <w:rsid w:val="00945454"/>
    <w:rsid w:val="00955405"/>
    <w:rsid w:val="00967803"/>
    <w:rsid w:val="00973718"/>
    <w:rsid w:val="0097565F"/>
    <w:rsid w:val="009871C4"/>
    <w:rsid w:val="00996936"/>
    <w:rsid w:val="009C2BD0"/>
    <w:rsid w:val="009C377F"/>
    <w:rsid w:val="009C3816"/>
    <w:rsid w:val="009F33F2"/>
    <w:rsid w:val="00A01D4B"/>
    <w:rsid w:val="00A076F2"/>
    <w:rsid w:val="00A1072C"/>
    <w:rsid w:val="00A17A84"/>
    <w:rsid w:val="00A345D2"/>
    <w:rsid w:val="00A50B91"/>
    <w:rsid w:val="00A77247"/>
    <w:rsid w:val="00A77EB9"/>
    <w:rsid w:val="00A83CBC"/>
    <w:rsid w:val="00A9289B"/>
    <w:rsid w:val="00A97F64"/>
    <w:rsid w:val="00AA0DEB"/>
    <w:rsid w:val="00AA3818"/>
    <w:rsid w:val="00AB14FC"/>
    <w:rsid w:val="00AB2A09"/>
    <w:rsid w:val="00AB63E1"/>
    <w:rsid w:val="00AD0E56"/>
    <w:rsid w:val="00AD340E"/>
    <w:rsid w:val="00AD523F"/>
    <w:rsid w:val="00AE0A2E"/>
    <w:rsid w:val="00AF4136"/>
    <w:rsid w:val="00B02F47"/>
    <w:rsid w:val="00B10BBD"/>
    <w:rsid w:val="00B16E3A"/>
    <w:rsid w:val="00B20C3C"/>
    <w:rsid w:val="00B2196A"/>
    <w:rsid w:val="00B225A2"/>
    <w:rsid w:val="00B27904"/>
    <w:rsid w:val="00B323A6"/>
    <w:rsid w:val="00B36119"/>
    <w:rsid w:val="00B43588"/>
    <w:rsid w:val="00B46DFE"/>
    <w:rsid w:val="00B571B7"/>
    <w:rsid w:val="00B82D74"/>
    <w:rsid w:val="00B86695"/>
    <w:rsid w:val="00B87A66"/>
    <w:rsid w:val="00B95795"/>
    <w:rsid w:val="00BA743E"/>
    <w:rsid w:val="00BB369D"/>
    <w:rsid w:val="00BC3814"/>
    <w:rsid w:val="00BC5E86"/>
    <w:rsid w:val="00BC5EC4"/>
    <w:rsid w:val="00BC602A"/>
    <w:rsid w:val="00BC7B33"/>
    <w:rsid w:val="00BD0AAF"/>
    <w:rsid w:val="00BD17C7"/>
    <w:rsid w:val="00BD54B7"/>
    <w:rsid w:val="00BE2A15"/>
    <w:rsid w:val="00C14ED4"/>
    <w:rsid w:val="00C15D03"/>
    <w:rsid w:val="00C26A5D"/>
    <w:rsid w:val="00C40A9F"/>
    <w:rsid w:val="00C445F2"/>
    <w:rsid w:val="00C553CE"/>
    <w:rsid w:val="00C63F1B"/>
    <w:rsid w:val="00C657D5"/>
    <w:rsid w:val="00C73FED"/>
    <w:rsid w:val="00C77191"/>
    <w:rsid w:val="00C87887"/>
    <w:rsid w:val="00C90A8E"/>
    <w:rsid w:val="00CA2570"/>
    <w:rsid w:val="00CA54EA"/>
    <w:rsid w:val="00CB7E58"/>
    <w:rsid w:val="00CC21F7"/>
    <w:rsid w:val="00CC56C2"/>
    <w:rsid w:val="00CD7ABE"/>
    <w:rsid w:val="00CE2052"/>
    <w:rsid w:val="00CE5DB4"/>
    <w:rsid w:val="00CE6DF8"/>
    <w:rsid w:val="00D00954"/>
    <w:rsid w:val="00D05024"/>
    <w:rsid w:val="00D24367"/>
    <w:rsid w:val="00D26B07"/>
    <w:rsid w:val="00D352AB"/>
    <w:rsid w:val="00D64195"/>
    <w:rsid w:val="00D71F0C"/>
    <w:rsid w:val="00D73819"/>
    <w:rsid w:val="00D848DD"/>
    <w:rsid w:val="00D9213B"/>
    <w:rsid w:val="00DA2C32"/>
    <w:rsid w:val="00DA3D2B"/>
    <w:rsid w:val="00DA6455"/>
    <w:rsid w:val="00DC797B"/>
    <w:rsid w:val="00DD5400"/>
    <w:rsid w:val="00DE1A5A"/>
    <w:rsid w:val="00DF3356"/>
    <w:rsid w:val="00DF6468"/>
    <w:rsid w:val="00E058BE"/>
    <w:rsid w:val="00E1342B"/>
    <w:rsid w:val="00E20508"/>
    <w:rsid w:val="00E3503B"/>
    <w:rsid w:val="00E46DF3"/>
    <w:rsid w:val="00E52B82"/>
    <w:rsid w:val="00E633AC"/>
    <w:rsid w:val="00E66538"/>
    <w:rsid w:val="00E72386"/>
    <w:rsid w:val="00E77710"/>
    <w:rsid w:val="00E91B0E"/>
    <w:rsid w:val="00E91BFE"/>
    <w:rsid w:val="00EA06A9"/>
    <w:rsid w:val="00EB000C"/>
    <w:rsid w:val="00EB6576"/>
    <w:rsid w:val="00EE06AA"/>
    <w:rsid w:val="00EF0EA8"/>
    <w:rsid w:val="00F0183A"/>
    <w:rsid w:val="00F070F1"/>
    <w:rsid w:val="00F076C0"/>
    <w:rsid w:val="00F23705"/>
    <w:rsid w:val="00F31E73"/>
    <w:rsid w:val="00F67532"/>
    <w:rsid w:val="00F74545"/>
    <w:rsid w:val="00F745CD"/>
    <w:rsid w:val="00F7655F"/>
    <w:rsid w:val="00F850D9"/>
    <w:rsid w:val="00F87A8A"/>
    <w:rsid w:val="00FA7AD8"/>
    <w:rsid w:val="00FB75E9"/>
    <w:rsid w:val="00FC79BC"/>
    <w:rsid w:val="00FD4891"/>
    <w:rsid w:val="00FD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D2B1FB"/>
  <w15:docId w15:val="{A162DDA3-B81F-4E19-8431-4499B70E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185"/>
    <w:pPr>
      <w:spacing w:after="0" w:line="300" w:lineRule="exact"/>
    </w:pPr>
    <w:rPr>
      <w:rFonts w:ascii="Calibri" w:hAnsi="Calibri"/>
      <w:color w:val="000000" w:themeColor="text1"/>
    </w:rPr>
  </w:style>
  <w:style w:type="paragraph" w:styleId="Heading1">
    <w:name w:val="heading 1"/>
    <w:aliases w:val="Subject page,Section title"/>
    <w:basedOn w:val="Normal"/>
    <w:next w:val="Normal"/>
    <w:link w:val="Heading1Char"/>
    <w:uiPriority w:val="9"/>
    <w:qFormat/>
    <w:rsid w:val="00856C0F"/>
    <w:pPr>
      <w:pageBreakBefore/>
      <w:numPr>
        <w:numId w:val="16"/>
      </w:numPr>
      <w:autoSpaceDE w:val="0"/>
      <w:autoSpaceDN w:val="0"/>
      <w:adjustRightInd w:val="0"/>
      <w:spacing w:after="120" w:line="600" w:lineRule="exact"/>
      <w:ind w:left="431" w:hanging="431"/>
      <w:outlineLvl w:val="0"/>
    </w:pPr>
    <w:rPr>
      <w:rFonts w:cstheme="minorHAnsi"/>
      <w:sz w:val="44"/>
      <w:szCs w:val="60"/>
    </w:rPr>
  </w:style>
  <w:style w:type="paragraph" w:styleId="Heading2">
    <w:name w:val="heading 2"/>
    <w:aliases w:val="Sub-heading,Subject title"/>
    <w:basedOn w:val="Heading1"/>
    <w:next w:val="Normal"/>
    <w:link w:val="Heading2Char"/>
    <w:uiPriority w:val="9"/>
    <w:unhideWhenUsed/>
    <w:qFormat/>
    <w:rsid w:val="007A4185"/>
    <w:pPr>
      <w:keepNext/>
      <w:pageBreakBefore w:val="0"/>
      <w:numPr>
        <w:ilvl w:val="1"/>
      </w:numPr>
      <w:spacing w:after="240" w:line="300" w:lineRule="exac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F64"/>
    <w:pPr>
      <w:keepNext/>
      <w:numPr>
        <w:ilvl w:val="2"/>
        <w:numId w:val="16"/>
      </w:numPr>
      <w:spacing w:before="60" w:after="60"/>
      <w:ind w:left="720"/>
      <w:outlineLvl w:val="2"/>
    </w:pPr>
    <w:rPr>
      <w:rFonts w:cstheme="minorHAnsi"/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7A4185"/>
    <w:pPr>
      <w:numPr>
        <w:ilvl w:val="3"/>
        <w:numId w:val="16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rsid w:val="007A4185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4185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4185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A4185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185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A4185"/>
    <w:pPr>
      <w:pBdr>
        <w:bottom w:val="single" w:sz="4" w:space="4" w:color="auto"/>
      </w:pBdr>
      <w:spacing w:line="140" w:lineRule="exact"/>
      <w:jc w:val="right"/>
    </w:pPr>
    <w:rPr>
      <w:rFonts w:asciiTheme="majorHAnsi" w:hAnsiTheme="majorHAnsi" w:cstheme="majorHAnsi"/>
      <w:noProof/>
      <w:sz w:val="12"/>
      <w:szCs w:val="1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7A4185"/>
    <w:rPr>
      <w:rFonts w:asciiTheme="majorHAnsi" w:hAnsiTheme="majorHAnsi" w:cstheme="majorHAnsi"/>
      <w:noProof/>
      <w:color w:val="000000" w:themeColor="text1"/>
      <w:sz w:val="12"/>
      <w:szCs w:val="12"/>
      <w:lang w:eastAsia="en-GB"/>
    </w:rPr>
  </w:style>
  <w:style w:type="paragraph" w:styleId="Footer">
    <w:name w:val="footer"/>
    <w:basedOn w:val="Normal"/>
    <w:link w:val="FooterChar"/>
    <w:uiPriority w:val="9"/>
    <w:unhideWhenUsed/>
    <w:rsid w:val="007A41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"/>
    <w:rsid w:val="007A4185"/>
    <w:rPr>
      <w:rFonts w:ascii="Calibri" w:hAnsi="Calibr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1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85"/>
    <w:rPr>
      <w:rFonts w:ascii="Tahoma" w:hAnsi="Tahoma" w:cs="Tahoma"/>
      <w:color w:val="000000" w:themeColor="text1"/>
      <w:sz w:val="16"/>
      <w:szCs w:val="16"/>
    </w:rPr>
  </w:style>
  <w:style w:type="paragraph" w:customStyle="1" w:styleId="Dashedbullets">
    <w:name w:val="Dashed bullets"/>
    <w:basedOn w:val="Normal"/>
    <w:qFormat/>
    <w:rsid w:val="007A4185"/>
    <w:pPr>
      <w:numPr>
        <w:numId w:val="14"/>
      </w:numPr>
    </w:pPr>
  </w:style>
  <w:style w:type="character" w:customStyle="1" w:styleId="Heading1Char">
    <w:name w:val="Heading 1 Char"/>
    <w:aliases w:val="Subject page Char,Section title Char"/>
    <w:basedOn w:val="DefaultParagraphFont"/>
    <w:link w:val="Heading1"/>
    <w:uiPriority w:val="9"/>
    <w:rsid w:val="00856C0F"/>
    <w:rPr>
      <w:rFonts w:ascii="Calibri" w:hAnsi="Calibri" w:cstheme="minorHAnsi"/>
      <w:color w:val="000000" w:themeColor="text1"/>
      <w:sz w:val="44"/>
      <w:szCs w:val="60"/>
    </w:rPr>
  </w:style>
  <w:style w:type="character" w:customStyle="1" w:styleId="Heading2Char">
    <w:name w:val="Heading 2 Char"/>
    <w:aliases w:val="Sub-heading Char,Subject title Char"/>
    <w:basedOn w:val="DefaultParagraphFont"/>
    <w:link w:val="Heading2"/>
    <w:uiPriority w:val="9"/>
    <w:rsid w:val="007A4185"/>
    <w:rPr>
      <w:rFonts w:ascii="Calibri" w:hAnsi="Calibri" w:cstheme="minorHAnsi"/>
      <w:b/>
      <w:color w:val="000000" w:themeColor="text1"/>
      <w:sz w:val="28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rsid w:val="00A97F64"/>
    <w:rPr>
      <w:rFonts w:ascii="Calibri" w:hAnsi="Calibri" w:cstheme="minorHAns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A4185"/>
    <w:rPr>
      <w:rFonts w:ascii="Calibri" w:hAnsi="Calibr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7A41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A41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41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A4185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customStyle="1" w:styleId="Acknowledgements">
    <w:name w:val="Acknowledgements"/>
    <w:basedOn w:val="Normal"/>
    <w:qFormat/>
    <w:rsid w:val="007A4185"/>
    <w:pPr>
      <w:pageBreakBefore/>
      <w:spacing w:after="480" w:line="600" w:lineRule="exact"/>
    </w:pPr>
    <w:rPr>
      <w:sz w:val="44"/>
      <w:szCs w:val="60"/>
    </w:rPr>
  </w:style>
  <w:style w:type="paragraph" w:customStyle="1" w:styleId="Appendix">
    <w:name w:val="Appendix"/>
    <w:basedOn w:val="Heading1"/>
    <w:qFormat/>
    <w:rsid w:val="007A4185"/>
    <w:pPr>
      <w:numPr>
        <w:numId w:val="0"/>
      </w:numPr>
      <w:spacing w:after="480"/>
    </w:pPr>
  </w:style>
  <w:style w:type="paragraph" w:customStyle="1" w:styleId="Subheading">
    <w:name w:val="Subheading"/>
    <w:basedOn w:val="Normal"/>
    <w:qFormat/>
    <w:rsid w:val="007A4185"/>
    <w:pPr>
      <w:autoSpaceDE w:val="0"/>
      <w:autoSpaceDN w:val="0"/>
      <w:adjustRightInd w:val="0"/>
      <w:spacing w:before="240" w:after="600" w:line="360" w:lineRule="exact"/>
    </w:pPr>
    <w:rPr>
      <w:rFonts w:cstheme="minorHAnsi"/>
      <w:b/>
      <w:bCs/>
      <w:sz w:val="28"/>
      <w:szCs w:val="30"/>
    </w:rPr>
  </w:style>
  <w:style w:type="paragraph" w:customStyle="1" w:styleId="Appendixheading">
    <w:name w:val="Appendix heading"/>
    <w:basedOn w:val="Subheading"/>
    <w:next w:val="Normal"/>
    <w:qFormat/>
    <w:rsid w:val="007A4185"/>
    <w:pPr>
      <w:spacing w:before="120" w:after="120"/>
    </w:pPr>
  </w:style>
  <w:style w:type="paragraph" w:customStyle="1" w:styleId="Charttitle">
    <w:name w:val="Chart title"/>
    <w:basedOn w:val="Normal"/>
    <w:qFormat/>
    <w:rsid w:val="007A4185"/>
    <w:pPr>
      <w:keepNext/>
      <w:numPr>
        <w:numId w:val="3"/>
      </w:numPr>
      <w:pBdr>
        <w:top w:val="single" w:sz="4" w:space="1" w:color="7F7F7F" w:themeColor="text1" w:themeTint="80"/>
      </w:pBdr>
      <w:autoSpaceDE w:val="0"/>
      <w:autoSpaceDN w:val="0"/>
      <w:adjustRightInd w:val="0"/>
      <w:spacing w:before="480" w:after="120" w:line="220" w:lineRule="atLeast"/>
    </w:pPr>
    <w:rPr>
      <w:rFonts w:cstheme="minorHAnsi"/>
      <w:b/>
      <w:iCs/>
      <w:color w:val="000000"/>
      <w:sz w:val="20"/>
      <w:szCs w:val="20"/>
    </w:rPr>
  </w:style>
  <w:style w:type="paragraph" w:customStyle="1" w:styleId="Boxtitle">
    <w:name w:val="Box title"/>
    <w:basedOn w:val="Charttitle"/>
    <w:qFormat/>
    <w:rsid w:val="007A4185"/>
    <w:pPr>
      <w:numPr>
        <w:numId w:val="4"/>
      </w:numPr>
      <w:pBdr>
        <w:top w:val="none" w:sz="0" w:space="0" w:color="auto"/>
      </w:pBdr>
      <w:spacing w:before="240" w:after="240"/>
    </w:pPr>
    <w:rPr>
      <w:color w:val="000000" w:themeColor="text1"/>
    </w:rPr>
  </w:style>
  <w:style w:type="paragraph" w:customStyle="1" w:styleId="Chartspacer">
    <w:name w:val="Chart spacer"/>
    <w:basedOn w:val="Normal"/>
    <w:qFormat/>
    <w:rsid w:val="007A4185"/>
    <w:pPr>
      <w:spacing w:line="240" w:lineRule="auto"/>
    </w:pPr>
    <w:rPr>
      <w:sz w:val="8"/>
      <w:szCs w:val="8"/>
    </w:rPr>
  </w:style>
  <w:style w:type="paragraph" w:customStyle="1" w:styleId="Client">
    <w:name w:val="Client"/>
    <w:basedOn w:val="Normal"/>
    <w:rsid w:val="007A4185"/>
    <w:pPr>
      <w:spacing w:before="360" w:line="360" w:lineRule="exact"/>
      <w:ind w:left="2410"/>
    </w:pPr>
    <w:rPr>
      <w:rFonts w:asciiTheme="minorHAnsi" w:hAnsiTheme="minorHAnsi" w:cstheme="minorHAnsi"/>
      <w:b/>
      <w:sz w:val="2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A41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1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185"/>
    <w:rPr>
      <w:rFonts w:ascii="Calibri" w:hAnsi="Calibri"/>
      <w:color w:val="000000" w:themeColor="text1"/>
      <w:sz w:val="20"/>
      <w:szCs w:val="20"/>
    </w:rPr>
  </w:style>
  <w:style w:type="paragraph" w:customStyle="1" w:styleId="CompanyProfile">
    <w:name w:val="Company Profile"/>
    <w:basedOn w:val="Normal"/>
    <w:qFormat/>
    <w:rsid w:val="007A4185"/>
  </w:style>
  <w:style w:type="paragraph" w:customStyle="1" w:styleId="Contents">
    <w:name w:val="Contents"/>
    <w:basedOn w:val="Normal"/>
    <w:rsid w:val="007A4185"/>
    <w:pPr>
      <w:pageBreakBefore/>
      <w:spacing w:after="540" w:line="600" w:lineRule="exact"/>
      <w:ind w:left="2410"/>
    </w:pPr>
    <w:rPr>
      <w:rFonts w:cs="Arial"/>
      <w:color w:val="221E1F"/>
      <w:sz w:val="60"/>
      <w:szCs w:val="60"/>
    </w:rPr>
  </w:style>
  <w:style w:type="paragraph" w:styleId="Date">
    <w:name w:val="Date"/>
    <w:basedOn w:val="Normal"/>
    <w:next w:val="Normal"/>
    <w:link w:val="DateChar"/>
    <w:uiPriority w:val="9"/>
    <w:rsid w:val="007A4185"/>
    <w:pPr>
      <w:spacing w:line="360" w:lineRule="exact"/>
      <w:ind w:left="2410"/>
    </w:pPr>
    <w:rPr>
      <w:rFonts w:asciiTheme="minorHAnsi" w:hAnsiTheme="minorHAnsi" w:cstheme="minorHAnsi"/>
      <w:color w:val="666666"/>
      <w:sz w:val="28"/>
      <w:szCs w:val="30"/>
    </w:rPr>
  </w:style>
  <w:style w:type="character" w:customStyle="1" w:styleId="DateChar">
    <w:name w:val="Date Char"/>
    <w:basedOn w:val="DefaultParagraphFont"/>
    <w:link w:val="Date"/>
    <w:uiPriority w:val="9"/>
    <w:rsid w:val="007A4185"/>
    <w:rPr>
      <w:rFonts w:cstheme="minorHAnsi"/>
      <w:color w:val="666666"/>
      <w:sz w:val="28"/>
      <w:szCs w:val="30"/>
    </w:rPr>
  </w:style>
  <w:style w:type="paragraph" w:customStyle="1" w:styleId="ExecutiveSummary">
    <w:name w:val="Executive Summary"/>
    <w:basedOn w:val="Heading1"/>
    <w:rsid w:val="007A4185"/>
    <w:pPr>
      <w:numPr>
        <w:numId w:val="0"/>
      </w:numPr>
      <w:outlineLvl w:val="9"/>
    </w:pPr>
  </w:style>
  <w:style w:type="character" w:styleId="FootnoteReference">
    <w:name w:val="footnote reference"/>
    <w:basedOn w:val="DefaultParagraphFont"/>
    <w:uiPriority w:val="99"/>
    <w:semiHidden/>
    <w:unhideWhenUsed/>
    <w:rsid w:val="007A4185"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rsid w:val="007A4185"/>
    <w:pPr>
      <w:pBdr>
        <w:top w:val="single" w:sz="4" w:space="1" w:color="7F7F7F" w:themeColor="text1" w:themeTint="80"/>
      </w:pBdr>
      <w:spacing w:before="120" w:after="240" w:line="240" w:lineRule="auto"/>
    </w:pPr>
    <w:rPr>
      <w:rFonts w:asciiTheme="minorHAnsi" w:hAnsiTheme="minorHAnsi" w:cstheme="minorHAnsi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7A4185"/>
    <w:rPr>
      <w:rFonts w:cstheme="minorHAnsi"/>
      <w:color w:val="000000" w:themeColor="text1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185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7A4185"/>
    <w:rPr>
      <w:color w:val="008CD1"/>
      <w:u w:val="single"/>
    </w:rPr>
  </w:style>
  <w:style w:type="paragraph" w:customStyle="1" w:styleId="Indentedbullet">
    <w:name w:val="Indented bullet"/>
    <w:basedOn w:val="Dashedbullets"/>
    <w:qFormat/>
    <w:rsid w:val="007A4185"/>
    <w:pPr>
      <w:ind w:left="568"/>
    </w:pPr>
  </w:style>
  <w:style w:type="paragraph" w:customStyle="1" w:styleId="Listoffigures">
    <w:name w:val="List of figures"/>
    <w:basedOn w:val="Contents"/>
    <w:rsid w:val="007A4185"/>
    <w:pPr>
      <w:pageBreakBefore w:val="0"/>
      <w:spacing w:before="120"/>
    </w:pPr>
  </w:style>
  <w:style w:type="paragraph" w:styleId="ListParagraph">
    <w:name w:val="List Paragraph"/>
    <w:basedOn w:val="Normal"/>
    <w:uiPriority w:val="34"/>
    <w:qFormat/>
    <w:rsid w:val="007A4185"/>
    <w:pPr>
      <w:ind w:left="720"/>
      <w:contextualSpacing/>
    </w:pPr>
  </w:style>
  <w:style w:type="paragraph" w:customStyle="1" w:styleId="Longquote">
    <w:name w:val="Long quote"/>
    <w:basedOn w:val="Normal"/>
    <w:qFormat/>
    <w:rsid w:val="007A4185"/>
    <w:pPr>
      <w:suppressAutoHyphens/>
      <w:autoSpaceDE w:val="0"/>
      <w:autoSpaceDN w:val="0"/>
      <w:adjustRightInd w:val="0"/>
      <w:spacing w:before="360" w:after="360" w:line="300" w:lineRule="atLeast"/>
      <w:ind w:left="1134" w:right="1134"/>
      <w:textAlignment w:val="center"/>
    </w:pPr>
    <w:rPr>
      <w:rFonts w:cs="Times New Roman"/>
      <w:i/>
    </w:rPr>
  </w:style>
  <w:style w:type="paragraph" w:styleId="NoSpacing">
    <w:name w:val="No Spacing"/>
    <w:uiPriority w:val="1"/>
    <w:qFormat/>
    <w:rsid w:val="007A4185"/>
    <w:pPr>
      <w:spacing w:after="0" w:line="240" w:lineRule="auto"/>
    </w:pPr>
    <w:rPr>
      <w:rFonts w:ascii="Calibri" w:hAnsi="Calibri"/>
      <w:color w:val="000000" w:themeColor="text1"/>
    </w:rPr>
  </w:style>
  <w:style w:type="paragraph" w:customStyle="1" w:styleId="Source">
    <w:name w:val="Source"/>
    <w:basedOn w:val="Normal"/>
    <w:qFormat/>
    <w:rsid w:val="007A4185"/>
    <w:pPr>
      <w:pBdr>
        <w:top w:val="single" w:sz="4" w:space="1" w:color="7F7F7F" w:themeColor="text1" w:themeTint="80"/>
      </w:pBdr>
      <w:autoSpaceDE w:val="0"/>
      <w:autoSpaceDN w:val="0"/>
      <w:adjustRightInd w:val="0"/>
      <w:spacing w:after="480"/>
      <w:ind w:left="993" w:hanging="993"/>
    </w:pPr>
    <w:rPr>
      <w:rFonts w:cstheme="minorHAnsi"/>
      <w:i/>
      <w:iCs/>
      <w:sz w:val="18"/>
      <w:szCs w:val="16"/>
    </w:rPr>
  </w:style>
  <w:style w:type="paragraph" w:customStyle="1" w:styleId="Note">
    <w:name w:val="Note"/>
    <w:basedOn w:val="Source"/>
    <w:qFormat/>
    <w:rsid w:val="007A4185"/>
    <w:pPr>
      <w:keepNext/>
      <w:spacing w:after="0"/>
    </w:pPr>
  </w:style>
  <w:style w:type="character" w:styleId="PageNumber">
    <w:name w:val="page number"/>
    <w:basedOn w:val="DefaultParagraphFont"/>
    <w:uiPriority w:val="99"/>
    <w:rsid w:val="007A4185"/>
    <w:rPr>
      <w:rFonts w:asciiTheme="minorHAnsi" w:hAnsiTheme="minorHAnsi"/>
      <w:sz w:val="16"/>
    </w:rPr>
  </w:style>
  <w:style w:type="character" w:styleId="PlaceholderText">
    <w:name w:val="Placeholder Text"/>
    <w:uiPriority w:val="99"/>
    <w:qFormat/>
    <w:rsid w:val="007A4185"/>
  </w:style>
  <w:style w:type="paragraph" w:styleId="Quote">
    <w:name w:val="Quote"/>
    <w:basedOn w:val="Normal"/>
    <w:next w:val="Normal"/>
    <w:link w:val="QuoteChar"/>
    <w:uiPriority w:val="9"/>
    <w:qFormat/>
    <w:rsid w:val="007A4185"/>
    <w:pPr>
      <w:spacing w:line="480" w:lineRule="exact"/>
    </w:pPr>
    <w:rPr>
      <w:rFonts w:cstheme="minorHAnsi"/>
      <w:i/>
      <w:iCs/>
      <w:color w:val="4D4D4D"/>
      <w:sz w:val="40"/>
      <w:szCs w:val="40"/>
    </w:rPr>
  </w:style>
  <w:style w:type="character" w:customStyle="1" w:styleId="QuoteChar">
    <w:name w:val="Quote Char"/>
    <w:basedOn w:val="DefaultParagraphFont"/>
    <w:link w:val="Quote"/>
    <w:uiPriority w:val="9"/>
    <w:rsid w:val="007A4185"/>
    <w:rPr>
      <w:rFonts w:ascii="Calibri" w:hAnsi="Calibri" w:cstheme="minorHAnsi"/>
      <w:i/>
      <w:iCs/>
      <w:color w:val="4D4D4D"/>
      <w:sz w:val="40"/>
      <w:szCs w:val="40"/>
    </w:rPr>
  </w:style>
  <w:style w:type="paragraph" w:customStyle="1" w:styleId="References">
    <w:name w:val="References"/>
    <w:basedOn w:val="Heading1"/>
    <w:rsid w:val="007A4185"/>
    <w:pPr>
      <w:numPr>
        <w:numId w:val="0"/>
      </w:numPr>
      <w:spacing w:after="600"/>
      <w:ind w:left="2410"/>
    </w:pPr>
  </w:style>
  <w:style w:type="paragraph" w:customStyle="1" w:styleId="Subsubtitle">
    <w:name w:val="Sub subtitle"/>
    <w:basedOn w:val="Normal"/>
    <w:qFormat/>
    <w:rsid w:val="007A4185"/>
  </w:style>
  <w:style w:type="paragraph" w:styleId="Subtitle">
    <w:name w:val="Subtitle"/>
    <w:basedOn w:val="Normal"/>
    <w:next w:val="Normal"/>
    <w:link w:val="SubtitleChar"/>
    <w:uiPriority w:val="9"/>
    <w:qFormat/>
    <w:rsid w:val="007A4185"/>
    <w:pPr>
      <w:numPr>
        <w:ilvl w:val="1"/>
      </w:numPr>
      <w:spacing w:after="240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9"/>
    <w:rsid w:val="007A4185"/>
    <w:rPr>
      <w:rFonts w:ascii="Calibri" w:eastAsiaTheme="majorEastAsia" w:hAnsi="Calibri" w:cstheme="majorBidi"/>
      <w:b/>
      <w:iCs/>
      <w:color w:val="000000" w:themeColor="text1"/>
      <w:szCs w:val="24"/>
    </w:rPr>
  </w:style>
  <w:style w:type="table" w:styleId="TableGrid">
    <w:name w:val="Table Grid"/>
    <w:basedOn w:val="TableNormal"/>
    <w:uiPriority w:val="59"/>
    <w:rsid w:val="007A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A4185"/>
    <w:pPr>
      <w:tabs>
        <w:tab w:val="left" w:pos="3402"/>
        <w:tab w:val="right" w:leader="dot" w:pos="9639"/>
      </w:tabs>
      <w:spacing w:line="400" w:lineRule="exact"/>
      <w:ind w:left="3402" w:hanging="992"/>
    </w:pPr>
    <w:rPr>
      <w:noProof/>
    </w:rPr>
  </w:style>
  <w:style w:type="paragraph" w:customStyle="1" w:styleId="Tabletitle">
    <w:name w:val="Table title"/>
    <w:qFormat/>
    <w:rsid w:val="007A4185"/>
    <w:pPr>
      <w:keepNext/>
      <w:numPr>
        <w:numId w:val="15"/>
      </w:numPr>
      <w:pBdr>
        <w:top w:val="single" w:sz="4" w:space="1" w:color="7F7F7F" w:themeColor="text1" w:themeTint="80"/>
      </w:pBdr>
      <w:spacing w:before="480" w:after="120" w:line="220" w:lineRule="atLeast"/>
    </w:pPr>
    <w:rPr>
      <w:rFonts w:ascii="Calibri" w:hAnsi="Calibri" w:cstheme="minorHAnsi"/>
      <w:b/>
      <w:iCs/>
      <w:color w:val="000000" w:themeColor="text1"/>
      <w:sz w:val="20"/>
      <w:szCs w:val="20"/>
    </w:rPr>
  </w:style>
  <w:style w:type="paragraph" w:styleId="Title">
    <w:name w:val="Title"/>
    <w:basedOn w:val="Normal"/>
    <w:next w:val="Normal"/>
    <w:link w:val="TitleChar"/>
    <w:uiPriority w:val="5"/>
    <w:rsid w:val="007A4185"/>
    <w:pPr>
      <w:pBdr>
        <w:bottom w:val="single" w:sz="4" w:space="12" w:color="auto"/>
      </w:pBdr>
      <w:spacing w:before="1080" w:line="600" w:lineRule="exact"/>
      <w:ind w:left="2410"/>
    </w:pPr>
    <w:rPr>
      <w:rFonts w:cstheme="minorHAnsi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5"/>
    <w:rsid w:val="007A4185"/>
    <w:rPr>
      <w:rFonts w:ascii="Calibri" w:hAnsi="Calibri" w:cstheme="minorHAnsi"/>
      <w:color w:val="000000" w:themeColor="text1"/>
      <w:sz w:val="60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7A4185"/>
    <w:pPr>
      <w:tabs>
        <w:tab w:val="right" w:leader="dot" w:pos="9629"/>
      </w:tabs>
      <w:spacing w:after="120"/>
      <w:ind w:left="2410"/>
    </w:pPr>
    <w:rPr>
      <w:rFonts w:cs="Arial"/>
      <w:noProof/>
    </w:rPr>
  </w:style>
  <w:style w:type="paragraph" w:styleId="TOC2">
    <w:name w:val="toc 2"/>
    <w:basedOn w:val="TOC1"/>
    <w:next w:val="Normal"/>
    <w:autoRedefine/>
    <w:uiPriority w:val="39"/>
    <w:unhideWhenUsed/>
    <w:rsid w:val="007A4185"/>
    <w:pPr>
      <w:tabs>
        <w:tab w:val="left" w:pos="3261"/>
      </w:tabs>
      <w:spacing w:after="60"/>
      <w:ind w:left="3261" w:hanging="426"/>
    </w:pPr>
    <w:rPr>
      <w:b/>
    </w:rPr>
  </w:style>
  <w:style w:type="paragraph" w:styleId="TOC3">
    <w:name w:val="toc 3"/>
    <w:basedOn w:val="TableofFigures"/>
    <w:next w:val="Normal"/>
    <w:autoRedefine/>
    <w:uiPriority w:val="19"/>
    <w:unhideWhenUsed/>
    <w:rsid w:val="007A4185"/>
    <w:pPr>
      <w:tabs>
        <w:tab w:val="clear" w:pos="3402"/>
        <w:tab w:val="left" w:pos="3544"/>
      </w:tabs>
      <w:ind w:left="3544" w:hanging="1134"/>
    </w:pPr>
  </w:style>
  <w:style w:type="paragraph" w:styleId="TOCHeading">
    <w:name w:val="TOC Heading"/>
    <w:basedOn w:val="Heading1"/>
    <w:next w:val="Normal"/>
    <w:uiPriority w:val="9"/>
    <w:unhideWhenUsed/>
    <w:qFormat/>
    <w:rsid w:val="007A4185"/>
    <w:pPr>
      <w:keepNext/>
      <w:keepLines/>
      <w:pageBreakBefore w:val="0"/>
      <w:autoSpaceDE/>
      <w:autoSpaceDN/>
      <w:adjustRightInd/>
      <w:spacing w:before="480" w:line="276" w:lineRule="auto"/>
      <w:ind w:left="0" w:firstLine="0"/>
      <w:outlineLvl w:val="9"/>
    </w:pPr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Version">
    <w:name w:val="Version"/>
    <w:basedOn w:val="Normal"/>
    <w:rsid w:val="007A4185"/>
    <w:pPr>
      <w:spacing w:before="840" w:line="360" w:lineRule="exact"/>
      <w:ind w:left="2410"/>
    </w:pPr>
    <w:rPr>
      <w:rFonts w:asciiTheme="minorHAnsi" w:hAnsiTheme="minorHAnsi" w:cstheme="minorHAnsi"/>
      <w:color w:val="666666"/>
      <w:sz w:val="28"/>
      <w:szCs w:val="30"/>
    </w:rPr>
  </w:style>
  <w:style w:type="table" w:customStyle="1" w:styleId="Vividtable">
    <w:name w:val="Vivid table"/>
    <w:basedOn w:val="TableNormal"/>
    <w:uiPriority w:val="99"/>
    <w:rsid w:val="007A4185"/>
    <w:pPr>
      <w:spacing w:after="0" w:line="240" w:lineRule="auto"/>
    </w:pPr>
    <w:rPr>
      <w:sz w:val="18"/>
    </w:rPr>
    <w:tblPr>
      <w:tblStyleRowBandSize w:val="1"/>
    </w:tblPr>
    <w:tcPr>
      <w:vAlign w:val="center"/>
    </w:tcPr>
    <w:tblStylePr w:type="firstRow">
      <w:rPr>
        <w:rFonts w:asciiTheme="minorHAnsi" w:hAnsiTheme="minorHAnsi"/>
        <w:b/>
        <w:sz w:val="18"/>
      </w:rPr>
    </w:tblStylePr>
    <w:tblStylePr w:type="band1Horz">
      <w:tblPr/>
      <w:tcPr>
        <w:shd w:val="clear" w:color="auto" w:fill="DDDDDD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1D6"/>
    <w:rPr>
      <w:rFonts w:ascii="Calibri" w:hAnsi="Calibri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amal\Documents\Custom%20Office%20Templates\181101%20No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0da89ef-49c0-40fe-8775-bed27f6d4e3e">
      <UserInfo>
        <DisplayName>Giacomo Ghezzi</DisplayName>
        <AccountId>2082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458A34C1B804487783B2D6E744E74" ma:contentTypeVersion="8" ma:contentTypeDescription="Create a new document." ma:contentTypeScope="" ma:versionID="2dd0d90af8f862a9b6eed6d00c8d83d6">
  <xsd:schema xmlns:xsd="http://www.w3.org/2001/XMLSchema" xmlns:xs="http://www.w3.org/2001/XMLSchema" xmlns:p="http://schemas.microsoft.com/office/2006/metadata/properties" xmlns:ns2="b5fc07e1-684f-42dd-a9b9-4a385070eb2f" xmlns:ns3="40da89ef-49c0-40fe-8775-bed27f6d4e3e" targetNamespace="http://schemas.microsoft.com/office/2006/metadata/properties" ma:root="true" ma:fieldsID="9eadf6f6e3e5a01bd3709fd17109d16b" ns2:_="" ns3:_="">
    <xsd:import namespace="b5fc07e1-684f-42dd-a9b9-4a385070eb2f"/>
    <xsd:import namespace="40da89ef-49c0-40fe-8775-bed27f6d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c07e1-684f-42dd-a9b9-4a385070eb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a89ef-49c0-40fe-8775-bed27f6d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AFBD-3390-4A90-9E5E-0DDD3B435FFA}">
  <ds:schemaRefs>
    <ds:schemaRef ds:uri="b5fc07e1-684f-42dd-a9b9-4a385070eb2f"/>
    <ds:schemaRef ds:uri="http://purl.org/dc/terms/"/>
    <ds:schemaRef ds:uri="http://schemas.openxmlformats.org/package/2006/metadata/core-properties"/>
    <ds:schemaRef ds:uri="40da89ef-49c0-40fe-8775-bed27f6d4e3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FBC6A27-504B-4815-9ABD-54C59B3DE4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F9FA77-F41E-4F9A-ADAD-386E7706C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fc07e1-684f-42dd-a9b9-4a385070eb2f"/>
    <ds:schemaRef ds:uri="40da89ef-49c0-40fe-8775-bed27f6d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7A30FB-B472-49AD-BBED-CC7433EEB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181101 Note</Template>
  <TotalTime>0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Shyamal</dc:creator>
  <cp:lastModifiedBy>Shyamal Patel</cp:lastModifiedBy>
  <cp:revision>179</cp:revision>
  <dcterms:created xsi:type="dcterms:W3CDTF">2018-11-05T10:30:00Z</dcterms:created>
  <dcterms:modified xsi:type="dcterms:W3CDTF">2018-11-05T18:04:00Z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0x01010071A458A34C1B804487783B2D6E744E74</vt:lpwstr>
  </property>
</Properties>
</file>