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E565D" w14:textId="6EB4C0CA" w:rsidR="002C2240" w:rsidRDefault="000E47BB" w:rsidP="00F7328D">
      <w:pPr>
        <w:pStyle w:val="Heading1"/>
        <w:ind w:left="426"/>
      </w:pPr>
      <w:r>
        <w:t>Evidence on s</w:t>
      </w:r>
      <w:r w:rsidR="00DC7E72">
        <w:t>ectoral variation in carbon prices</w:t>
      </w:r>
    </w:p>
    <w:p w14:paraId="3D17F33B" w14:textId="5FA59B8C" w:rsidR="009A42D4" w:rsidRDefault="00C405EE" w:rsidP="006D359D">
      <w:pPr>
        <w:pStyle w:val="Heading2"/>
      </w:pPr>
      <w:r>
        <w:t xml:space="preserve">Published </w:t>
      </w:r>
      <w:r w:rsidR="00B36F5B">
        <w:t>sources</w:t>
      </w:r>
    </w:p>
    <w:p w14:paraId="2CB3D1F7" w14:textId="0E4555E2" w:rsidR="0005367E" w:rsidRDefault="004F5316" w:rsidP="009A6788">
      <w:pPr>
        <w:pStyle w:val="Heading3"/>
      </w:pPr>
      <w:commentRangeStart w:id="0"/>
      <w:r>
        <w:t>T</w:t>
      </w:r>
      <w:r w:rsidR="000E47BB">
        <w:t xml:space="preserve">axing </w:t>
      </w:r>
      <w:r>
        <w:t>E</w:t>
      </w:r>
      <w:r w:rsidR="000E47BB">
        <w:t xml:space="preserve">nergy </w:t>
      </w:r>
      <w:r>
        <w:t>U</w:t>
      </w:r>
      <w:r w:rsidR="000E47BB">
        <w:t>se</w:t>
      </w:r>
      <w:r w:rsidR="001535A9">
        <w:t xml:space="preserve"> (</w:t>
      </w:r>
      <w:r>
        <w:t xml:space="preserve">OECD, </w:t>
      </w:r>
      <w:r w:rsidR="001535A9">
        <w:t>2018)</w:t>
      </w:r>
      <w:commentRangeEnd w:id="0"/>
      <w:r w:rsidR="00244067">
        <w:rPr>
          <w:rStyle w:val="CommentReference"/>
        </w:rPr>
        <w:commentReference w:id="0"/>
      </w:r>
    </w:p>
    <w:p w14:paraId="763DAE8D" w14:textId="102AFA4B" w:rsidR="001535A9" w:rsidRDefault="004A5239" w:rsidP="009A6788">
      <w:pPr>
        <w:pStyle w:val="ListParagraph"/>
        <w:numPr>
          <w:ilvl w:val="0"/>
          <w:numId w:val="19"/>
        </w:numPr>
        <w:spacing w:before="240"/>
      </w:pPr>
      <w:r>
        <w:t>Aggregated e</w:t>
      </w:r>
      <w:r w:rsidR="00AA25B8">
        <w:t xml:space="preserve">ffective tax rates on energy use in 42 OECD and G20 </w:t>
      </w:r>
      <w:r>
        <w:t xml:space="preserve">economies </w:t>
      </w:r>
      <w:r w:rsidR="00AA25B8">
        <w:t>in EUR/tCO</w:t>
      </w:r>
      <w:r w:rsidR="00AA25B8">
        <w:rPr>
          <w:vertAlign w:val="subscript"/>
        </w:rPr>
        <w:t>2</w:t>
      </w:r>
      <w:r w:rsidR="00AA25B8">
        <w:t xml:space="preserve"> </w:t>
      </w:r>
      <w:r w:rsidR="0005367E">
        <w:t>(</w:t>
      </w:r>
      <w:r w:rsidR="00AA25B8">
        <w:t>2015</w:t>
      </w:r>
      <w:r w:rsidR="0005367E">
        <w:t>)</w:t>
      </w:r>
    </w:p>
    <w:p w14:paraId="33A75063" w14:textId="0D95E557" w:rsidR="0005367E" w:rsidRDefault="004810C6" w:rsidP="009A6788">
      <w:pPr>
        <w:pStyle w:val="ListParagraph"/>
        <w:numPr>
          <w:ilvl w:val="0"/>
          <w:numId w:val="19"/>
        </w:numPr>
        <w:spacing w:before="240"/>
      </w:pPr>
      <w:r>
        <w:t>Rates are given by sector, by fuel, and include carbon taxation, fuel and energy taxation and credits</w:t>
      </w:r>
    </w:p>
    <w:p w14:paraId="74B4CBF8" w14:textId="554D8E0F" w:rsidR="00DA7D10" w:rsidRDefault="004810C6" w:rsidP="009A6788">
      <w:pPr>
        <w:pStyle w:val="ListParagraph"/>
        <w:numPr>
          <w:ilvl w:val="0"/>
          <w:numId w:val="19"/>
        </w:numPr>
        <w:spacing w:before="240"/>
      </w:pPr>
      <w:r>
        <w:t xml:space="preserve">Note that it looks like ETS prices are excluded from </w:t>
      </w:r>
      <w:r w:rsidR="004F5316">
        <w:t xml:space="preserve">effective tax rate </w:t>
      </w:r>
      <w:r>
        <w:t xml:space="preserve">estimates – </w:t>
      </w:r>
      <w:r w:rsidR="004F5316">
        <w:t xml:space="preserve">suggest </w:t>
      </w:r>
      <w:r>
        <w:t xml:space="preserve">we add these back in by </w:t>
      </w:r>
      <w:r w:rsidR="00DA7D10">
        <w:t>finding ETS prices by OECD and G20 economy</w:t>
      </w:r>
      <w:r w:rsidR="004F5316">
        <w:t xml:space="preserve"> from STCP work</w:t>
      </w:r>
      <w:r w:rsidR="00DA7D10">
        <w:t xml:space="preserve">, and adding </w:t>
      </w:r>
      <w:r w:rsidR="00BC45EF">
        <w:t xml:space="preserve">in </w:t>
      </w:r>
      <w:r w:rsidR="00DA7D10">
        <w:t>country weighted average ETS price</w:t>
      </w:r>
      <w:r w:rsidR="00BC45EF">
        <w:t>s</w:t>
      </w:r>
    </w:p>
    <w:p w14:paraId="796D643C" w14:textId="0C7C7410" w:rsidR="001F528D" w:rsidRPr="000D25DC" w:rsidRDefault="006901D3" w:rsidP="007F72B1">
      <w:pPr>
        <w:pStyle w:val="Charttitle"/>
        <w:ind w:left="992" w:hanging="992"/>
      </w:pPr>
      <w:r>
        <w:t>Average e</w:t>
      </w:r>
      <w:r w:rsidR="001F528D">
        <w:t>ffective tax rates on energy use (EUR/tCO</w:t>
      </w:r>
      <w:r w:rsidR="001F528D">
        <w:rPr>
          <w:vertAlign w:val="subscript"/>
        </w:rPr>
        <w:t>2</w:t>
      </w:r>
      <w:r w:rsidR="001F528D">
        <w:t xml:space="preserve"> in 2015)</w:t>
      </w:r>
      <w:r>
        <w:t xml:space="preserve"> across 42 OECD and G20 economies, by sector and by fuel</w:t>
      </w:r>
    </w:p>
    <w:p w14:paraId="6A9845C7" w14:textId="48F83267" w:rsidR="001F528D" w:rsidRPr="00430244" w:rsidRDefault="00D83C20" w:rsidP="00D83C20">
      <w:pPr>
        <w:keepNext/>
        <w:spacing w:before="240" w:after="240" w:line="240" w:lineRule="auto"/>
        <w:jc w:val="center"/>
        <w:rPr>
          <w:rStyle w:val="PlaceholderText"/>
        </w:rPr>
      </w:pPr>
      <w:r w:rsidRPr="00D83C20">
        <w:drawing>
          <wp:inline distT="0" distB="0" distL="0" distR="0" wp14:anchorId="1275AA9A" wp14:editId="6F854248">
            <wp:extent cx="5582411" cy="3233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3015" cy="326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D51B" w14:textId="1FF1829A" w:rsidR="001F528D" w:rsidRDefault="001F528D" w:rsidP="0028128B">
      <w:pPr>
        <w:pStyle w:val="Note"/>
      </w:pPr>
      <w:r>
        <w:t>Note:</w:t>
      </w:r>
      <w:r>
        <w:tab/>
      </w:r>
      <w:r w:rsidR="006901D3">
        <w:t>E</w:t>
      </w:r>
      <w:r w:rsidR="006901D3">
        <w:t>xcluding taxes on electricity output, including carbon emissions from biomass</w:t>
      </w:r>
    </w:p>
    <w:p w14:paraId="6A3169A3" w14:textId="3171312B" w:rsidR="001F528D" w:rsidRPr="005A132E" w:rsidRDefault="001F528D" w:rsidP="00D27FF8">
      <w:pPr>
        <w:pStyle w:val="Source"/>
      </w:pPr>
      <w:r w:rsidRPr="005A132E">
        <w:t>Source:</w:t>
      </w:r>
      <w:r>
        <w:tab/>
      </w:r>
      <w:r w:rsidR="00E131CD">
        <w:t xml:space="preserve">Page 35 (33/58) of </w:t>
      </w:r>
      <w:r>
        <w:t>Taxing energy use</w:t>
      </w:r>
      <w:r w:rsidR="007A4689">
        <w:t xml:space="preserve"> 2018, OECD</w:t>
      </w:r>
    </w:p>
    <w:p w14:paraId="6B6557EB" w14:textId="77777777" w:rsidR="00E6621D" w:rsidRDefault="008C03AE" w:rsidP="00961BE9">
      <w:pPr>
        <w:pStyle w:val="Heading3"/>
      </w:pPr>
      <w:commentRangeStart w:id="1"/>
      <w:r>
        <w:t>Effective Carbon Rates (OECD, 2016)</w:t>
      </w:r>
      <w:commentRangeEnd w:id="1"/>
      <w:r w:rsidR="007509E8">
        <w:rPr>
          <w:rStyle w:val="CommentReference"/>
        </w:rPr>
        <w:commentReference w:id="1"/>
      </w:r>
    </w:p>
    <w:p w14:paraId="53D70674" w14:textId="6555B465" w:rsidR="00DA7D10" w:rsidRDefault="004A5239" w:rsidP="00961BE9">
      <w:pPr>
        <w:pStyle w:val="ListParagraph"/>
        <w:numPr>
          <w:ilvl w:val="0"/>
          <w:numId w:val="19"/>
        </w:numPr>
        <w:spacing w:before="240"/>
      </w:pPr>
      <w:r>
        <w:t>Effective tax rates on energy use</w:t>
      </w:r>
      <w:r w:rsidR="008C03AE">
        <w:t xml:space="preserve"> </w:t>
      </w:r>
      <w:r w:rsidR="007402CB">
        <w:t>in 41 countries, by country in EUR/tCO</w:t>
      </w:r>
      <w:r w:rsidR="007402CB">
        <w:rPr>
          <w:vertAlign w:val="subscript"/>
        </w:rPr>
        <w:t xml:space="preserve">2 </w:t>
      </w:r>
      <w:r w:rsidR="007402CB">
        <w:t>(2012)</w:t>
      </w:r>
    </w:p>
    <w:p w14:paraId="23F66AF3" w14:textId="6E5B5B42" w:rsidR="00502DD4" w:rsidRDefault="00502DD4" w:rsidP="00961BE9">
      <w:pPr>
        <w:pStyle w:val="ListParagraph"/>
        <w:numPr>
          <w:ilvl w:val="0"/>
          <w:numId w:val="19"/>
        </w:numPr>
        <w:spacing w:before="240"/>
      </w:pPr>
      <w:r>
        <w:t>Rates are given by sector, by fuel, and include all taxes and emissions trading schemes</w:t>
      </w:r>
    </w:p>
    <w:p w14:paraId="41C8DA9A" w14:textId="16D30301" w:rsidR="00C12EE6" w:rsidRDefault="00C12EE6" w:rsidP="00961BE9">
      <w:pPr>
        <w:pStyle w:val="ListParagraph"/>
        <w:numPr>
          <w:ilvl w:val="0"/>
          <w:numId w:val="19"/>
        </w:numPr>
        <w:spacing w:before="240"/>
      </w:pPr>
      <w:r>
        <w:t xml:space="preserve">These estimates are older, so the Taxing Energy Use source is preferred, but the estimates of ETS </w:t>
      </w:r>
      <w:r w:rsidR="006901D3">
        <w:t>prices by country could be useful</w:t>
      </w:r>
    </w:p>
    <w:p w14:paraId="3826FB8E" w14:textId="0038A876" w:rsidR="006901D3" w:rsidRPr="000D25DC" w:rsidRDefault="006901D3" w:rsidP="007F72B1">
      <w:pPr>
        <w:pStyle w:val="Charttitle"/>
        <w:ind w:left="992" w:hanging="992"/>
      </w:pPr>
      <w:r>
        <w:lastRenderedPageBreak/>
        <w:t>Average effective tax rate on energy use in 41 economies, by sector and components (ETS vs. tax)</w:t>
      </w:r>
    </w:p>
    <w:p w14:paraId="28F4870D" w14:textId="32BC3354" w:rsidR="006901D3" w:rsidRPr="00430244" w:rsidRDefault="00351073" w:rsidP="00351073">
      <w:pPr>
        <w:keepNext/>
        <w:spacing w:before="240" w:after="240" w:line="240" w:lineRule="auto"/>
        <w:rPr>
          <w:rStyle w:val="PlaceholderText"/>
        </w:rPr>
      </w:pPr>
      <w:r w:rsidRPr="00351073">
        <w:drawing>
          <wp:inline distT="0" distB="0" distL="0" distR="0" wp14:anchorId="6C536D4D" wp14:editId="63260F67">
            <wp:extent cx="5731510" cy="2687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B4CB" w14:textId="3E25307E" w:rsidR="006901D3" w:rsidRPr="000707C5" w:rsidRDefault="006901D3" w:rsidP="0028128B">
      <w:pPr>
        <w:pStyle w:val="Note"/>
      </w:pPr>
      <w:r>
        <w:t>Note:</w:t>
      </w:r>
      <w:r>
        <w:tab/>
      </w:r>
      <w:r w:rsidR="008B5ADC">
        <w:t>Within each industry, shaded areas represent</w:t>
      </w:r>
      <w:r w:rsidR="000707C5">
        <w:t xml:space="preserve"> the volume of CO</w:t>
      </w:r>
      <w:r w:rsidR="000707C5">
        <w:rPr>
          <w:vertAlign w:val="subscript"/>
        </w:rPr>
        <w:t>2</w:t>
      </w:r>
      <w:r w:rsidR="000707C5">
        <w:t xml:space="preserve"> emissions from energy use subject to a given price; for instance, in industry, the vast majority of emissions in the countries in question are not subject to any pricing, a very small proportion are subject to just an ETS, a small proportion are subject to just ta</w:t>
      </w:r>
      <w:r w:rsidR="00230395">
        <w:t>xes, and a very small proportion are subject to both taxes and an ETS</w:t>
      </w:r>
    </w:p>
    <w:p w14:paraId="053DBCFF" w14:textId="70CA72E1" w:rsidR="006901D3" w:rsidRPr="005A132E" w:rsidRDefault="006901D3" w:rsidP="00D27FF8">
      <w:pPr>
        <w:pStyle w:val="Source"/>
      </w:pPr>
      <w:r w:rsidRPr="005A132E">
        <w:t>Source:</w:t>
      </w:r>
      <w:r>
        <w:tab/>
      </w:r>
      <w:r w:rsidR="00EA594C">
        <w:t>Page 85 of Effective Carbon Rates 2016, OECD</w:t>
      </w:r>
    </w:p>
    <w:p w14:paraId="7887F9B6" w14:textId="0A503E25" w:rsidR="003038BF" w:rsidRDefault="00232F2D" w:rsidP="00C72D2E">
      <w:pPr>
        <w:pStyle w:val="Heading3"/>
      </w:pPr>
      <w:commentRangeStart w:id="2"/>
      <w:r>
        <w:t>States and trends in carbon pricing (World Bank, 201</w:t>
      </w:r>
      <w:r w:rsidR="003E33D4">
        <w:t>7</w:t>
      </w:r>
      <w:r>
        <w:t>)</w:t>
      </w:r>
      <w:commentRangeEnd w:id="2"/>
      <w:r w:rsidR="006E5DAE">
        <w:rPr>
          <w:rStyle w:val="CommentReference"/>
          <w:rFonts w:cstheme="minorBidi"/>
          <w:b w:val="0"/>
        </w:rPr>
        <w:commentReference w:id="2"/>
      </w:r>
    </w:p>
    <w:p w14:paraId="528FBBA1" w14:textId="69C3211F" w:rsidR="00E4730B" w:rsidRDefault="00EE6EE1" w:rsidP="00C72D2E">
      <w:pPr>
        <w:pStyle w:val="ListParagraph"/>
        <w:numPr>
          <w:ilvl w:val="0"/>
          <w:numId w:val="19"/>
        </w:numPr>
      </w:pPr>
      <w:r>
        <w:t>Carbon taxes and ETS</w:t>
      </w:r>
      <w:r w:rsidR="005460BF">
        <w:t xml:space="preserve"> scheme prices by region</w:t>
      </w:r>
    </w:p>
    <w:p w14:paraId="48E24716" w14:textId="77777777" w:rsidR="00667A14" w:rsidRDefault="00667A14" w:rsidP="00C72D2E">
      <w:pPr>
        <w:pStyle w:val="ListParagraph"/>
        <w:numPr>
          <w:ilvl w:val="0"/>
          <w:numId w:val="19"/>
        </w:numPr>
      </w:pPr>
      <w:r>
        <w:t>Does not include fuel and energy taxes</w:t>
      </w:r>
    </w:p>
    <w:p w14:paraId="7DDAA336" w14:textId="568B21C4" w:rsidR="00667A14" w:rsidRDefault="00667A14" w:rsidP="00C72D2E">
      <w:pPr>
        <w:pStyle w:val="ListParagraph"/>
        <w:numPr>
          <w:ilvl w:val="0"/>
          <w:numId w:val="19"/>
        </w:numPr>
      </w:pPr>
      <w:r>
        <w:t xml:space="preserve">Does not provide effective carbon prices by sector, or </w:t>
      </w:r>
      <w:r w:rsidR="006960CB">
        <w:t xml:space="preserve">a </w:t>
      </w:r>
      <w:r>
        <w:t>sectoral breakdown</w:t>
      </w:r>
      <w:r w:rsidR="006960CB">
        <w:t xml:space="preserve"> of prices</w:t>
      </w:r>
    </w:p>
    <w:p w14:paraId="25EF1D6D" w14:textId="62B93511" w:rsidR="00667A14" w:rsidRPr="000D25DC" w:rsidRDefault="00667A14" w:rsidP="007F72B1">
      <w:pPr>
        <w:pStyle w:val="Charttitle"/>
        <w:ind w:left="992" w:hanging="992"/>
      </w:pPr>
      <w:r>
        <w:t>Carbon price and emissions coverage of implemented carbon pricing initiatives</w:t>
      </w:r>
    </w:p>
    <w:p w14:paraId="3C9F2075" w14:textId="27545001" w:rsidR="00667A14" w:rsidRPr="00430244" w:rsidRDefault="00221B4D" w:rsidP="00221B4D">
      <w:pPr>
        <w:keepNext/>
        <w:spacing w:before="240" w:after="240" w:line="240" w:lineRule="auto"/>
        <w:jc w:val="center"/>
        <w:rPr>
          <w:rStyle w:val="PlaceholderText"/>
        </w:rPr>
      </w:pPr>
      <w:r w:rsidRPr="00221B4D">
        <w:drawing>
          <wp:inline distT="0" distB="0" distL="0" distR="0" wp14:anchorId="713313F2" wp14:editId="48C6A684">
            <wp:extent cx="4020033" cy="216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03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F6BB" w14:textId="1539A78D" w:rsidR="00667A14" w:rsidRDefault="00667A14" w:rsidP="0028128B">
      <w:pPr>
        <w:pStyle w:val="Note"/>
      </w:pPr>
      <w:r>
        <w:t>Note:</w:t>
      </w:r>
      <w:r>
        <w:tab/>
      </w:r>
      <w:r w:rsidR="006D3FD8">
        <w:t>This excludes fuel and energy taxes</w:t>
      </w:r>
      <w:r w:rsidR="00F8217B">
        <w:t>, and does not provide a sectoral breakdow</w:t>
      </w:r>
      <w:r w:rsidR="00BD49B3">
        <w:t>n of prices</w:t>
      </w:r>
    </w:p>
    <w:p w14:paraId="69822FAF" w14:textId="34BEE479" w:rsidR="00667A14" w:rsidRPr="005A132E" w:rsidRDefault="00667A14" w:rsidP="00D27FF8">
      <w:pPr>
        <w:pStyle w:val="Source"/>
      </w:pPr>
      <w:r w:rsidRPr="005A132E">
        <w:t>Source:</w:t>
      </w:r>
      <w:r>
        <w:tab/>
      </w:r>
      <w:r w:rsidR="006D3FD8">
        <w:t>Page</w:t>
      </w:r>
      <w:r w:rsidR="00C96305">
        <w:t>s</w:t>
      </w:r>
      <w:r w:rsidR="006D3FD8">
        <w:t xml:space="preserve"> 29 (31/104) </w:t>
      </w:r>
      <w:r w:rsidR="00C96305">
        <w:t xml:space="preserve">and 44 (46/104) </w:t>
      </w:r>
      <w:r w:rsidR="006D3FD8">
        <w:t>of States and Trends in Carbon Pricing 2017, World Bank Group</w:t>
      </w:r>
    </w:p>
    <w:p w14:paraId="1DF43EA2" w14:textId="78C7119D" w:rsidR="007C2892" w:rsidRDefault="009A42D4" w:rsidP="00D934B1">
      <w:pPr>
        <w:pStyle w:val="Heading2"/>
      </w:pPr>
      <w:commentRangeStart w:id="3"/>
      <w:r>
        <w:lastRenderedPageBreak/>
        <w:t xml:space="preserve">Specific </w:t>
      </w:r>
      <w:r w:rsidR="004C6E1D">
        <w:t xml:space="preserve">country </w:t>
      </w:r>
      <w:r>
        <w:t>examples</w:t>
      </w:r>
      <w:commentRangeEnd w:id="3"/>
      <w:r w:rsidR="004C6E1D">
        <w:rPr>
          <w:rStyle w:val="CommentReference"/>
          <w:rFonts w:cstheme="minorBidi"/>
          <w:b w:val="0"/>
        </w:rPr>
        <w:commentReference w:id="3"/>
      </w:r>
    </w:p>
    <w:p w14:paraId="0CE62400" w14:textId="4491193C" w:rsidR="00F8335C" w:rsidRDefault="009A5A85" w:rsidP="004C6E1D">
      <w:pPr>
        <w:pStyle w:val="Heading3"/>
        <w:rPr>
          <w:b w:val="0"/>
        </w:rPr>
      </w:pPr>
      <w:r>
        <w:t>France and Norway</w:t>
      </w:r>
    </w:p>
    <w:p w14:paraId="0D81DF27" w14:textId="24D60A93" w:rsidR="009A5A85" w:rsidRDefault="009A5A85" w:rsidP="009A5A85">
      <w:pPr>
        <w:pStyle w:val="ListParagraph"/>
        <w:numPr>
          <w:ilvl w:val="0"/>
          <w:numId w:val="19"/>
        </w:numPr>
      </w:pPr>
      <w:r>
        <w:t>Carbon tax</w:t>
      </w:r>
      <w:r w:rsidR="000F2CB6">
        <w:t xml:space="preserve"> on fossil fuels not in the EU ETS</w:t>
      </w:r>
      <w:r w:rsidR="000E680C">
        <w:br/>
      </w:r>
    </w:p>
    <w:p w14:paraId="42607096" w14:textId="096523C0" w:rsidR="000E680C" w:rsidRDefault="00E35B10" w:rsidP="00E35B10">
      <w:pPr>
        <w:pStyle w:val="Heading3"/>
      </w:pPr>
      <w:commentRangeStart w:id="4"/>
      <w:r>
        <w:t>Sweden</w:t>
      </w:r>
      <w:commentRangeEnd w:id="4"/>
      <w:r>
        <w:rPr>
          <w:rStyle w:val="CommentReference"/>
          <w:rFonts w:cstheme="minorBidi"/>
          <w:b w:val="0"/>
        </w:rPr>
        <w:commentReference w:id="4"/>
      </w:r>
    </w:p>
    <w:p w14:paraId="0819260A" w14:textId="55F938C4" w:rsidR="00E35B10" w:rsidRDefault="00E35B10" w:rsidP="00E35B10">
      <w:pPr>
        <w:pStyle w:val="ListParagraph"/>
        <w:numPr>
          <w:ilvl w:val="0"/>
          <w:numId w:val="19"/>
        </w:numPr>
      </w:pPr>
      <w:r>
        <w:t>Carbon tax on industries outside the EU ETS</w:t>
      </w:r>
    </w:p>
    <w:p w14:paraId="5503AD97" w14:textId="028F545F" w:rsidR="001B7636" w:rsidRDefault="001B7636" w:rsidP="001B7636"/>
    <w:p w14:paraId="4FA482AC" w14:textId="699C0FEC" w:rsidR="001B7636" w:rsidRDefault="009F157F" w:rsidP="009F157F">
      <w:pPr>
        <w:pStyle w:val="Heading3"/>
      </w:pPr>
      <w:r>
        <w:t>California</w:t>
      </w:r>
    </w:p>
    <w:p w14:paraId="231BD1D7" w14:textId="392B565F" w:rsidR="009F157F" w:rsidRDefault="009F157F" w:rsidP="009F157F">
      <w:pPr>
        <w:pStyle w:val="ListParagraph"/>
        <w:numPr>
          <w:ilvl w:val="0"/>
          <w:numId w:val="19"/>
        </w:numPr>
      </w:pPr>
      <w:r>
        <w:t>Low carbon fuel standard overlaps with ETS covering transport fuel sales</w:t>
      </w:r>
    </w:p>
    <w:p w14:paraId="4E9D5C71" w14:textId="7BD7E8BC" w:rsidR="009F157F" w:rsidRDefault="009F157F" w:rsidP="009F157F"/>
    <w:p w14:paraId="25086B82" w14:textId="7EBC595E" w:rsidR="009F157F" w:rsidRDefault="00EA1C79" w:rsidP="00EA1C79">
      <w:pPr>
        <w:pStyle w:val="Heading3"/>
      </w:pPr>
      <w:r>
        <w:t>EU ETS</w:t>
      </w:r>
    </w:p>
    <w:p w14:paraId="1ABD6A01" w14:textId="358B8A34" w:rsidR="00EA1C79" w:rsidRDefault="00EA1C79" w:rsidP="00EA1C79">
      <w:pPr>
        <w:pStyle w:val="ListParagraph"/>
        <w:numPr>
          <w:ilvl w:val="0"/>
          <w:numId w:val="19"/>
        </w:numPr>
      </w:pPr>
      <w:r>
        <w:t>Renewable energy directive (RED) and the Fuel quality directive (FQD) also overlap with EU ETS and result in different implicit carbon price in the transport sector</w:t>
      </w:r>
    </w:p>
    <w:p w14:paraId="4541CB3A" w14:textId="6F2045A9" w:rsidR="00EA1C79" w:rsidRDefault="00EA1C79" w:rsidP="00EA1C79"/>
    <w:p w14:paraId="441D59A8" w14:textId="736042BE" w:rsidR="00EA1C79" w:rsidRDefault="00432FC1" w:rsidP="00432FC1">
      <w:pPr>
        <w:pStyle w:val="Heading3"/>
      </w:pPr>
      <w:r>
        <w:t>British Columbia</w:t>
      </w:r>
    </w:p>
    <w:p w14:paraId="4EED63DD" w14:textId="5CFF5F87" w:rsidR="00432FC1" w:rsidRPr="00432FC1" w:rsidRDefault="00B7651B" w:rsidP="00432FC1">
      <w:pPr>
        <w:pStyle w:val="ListParagraph"/>
        <w:numPr>
          <w:ilvl w:val="0"/>
          <w:numId w:val="19"/>
        </w:numPr>
      </w:pPr>
      <w:r>
        <w:t>Operates carbon tax covering transport fuels in parallel with a motor fuel tax and biofuel blending mandates</w:t>
      </w:r>
      <w:bookmarkStart w:id="5" w:name="_GoBack"/>
      <w:bookmarkEnd w:id="5"/>
    </w:p>
    <w:sectPr w:rsidR="00432FC1" w:rsidRPr="00432FC1" w:rsidSect="002C2240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1077" w:footer="34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hyamal Patel" w:date="2018-03-07T12:15:00Z" w:initials="SP">
    <w:p w14:paraId="22B4DCCA" w14:textId="1C66D5A3" w:rsidR="00D74FA3" w:rsidRDefault="00244067">
      <w:pPr>
        <w:pStyle w:val="CommentText"/>
      </w:pPr>
      <w:r>
        <w:rPr>
          <w:rStyle w:val="CommentReference"/>
        </w:rPr>
        <w:annotationRef/>
      </w:r>
      <w:hyperlink r:id="rId1" w:history="1">
        <w:r w:rsidR="00D74FA3" w:rsidRPr="003B4373">
          <w:rPr>
            <w:rStyle w:val="Hyperlink"/>
          </w:rPr>
          <w:t>https://vivideconomics.sharepoint.com/:b:/s/projects/171211HSB/EaOH6dSzCQJDuRL6hfY9AOkBW0_iUUAgARLOZ9evkntwyQ?e=zlMlHe</w:t>
        </w:r>
      </w:hyperlink>
    </w:p>
  </w:comment>
  <w:comment w:id="1" w:author="Shyamal Patel" w:date="2018-03-07T12:53:00Z" w:initials="SP">
    <w:p w14:paraId="083A64FD" w14:textId="202B12CF" w:rsidR="007509E8" w:rsidRDefault="007509E8">
      <w:pPr>
        <w:pStyle w:val="CommentText"/>
      </w:pPr>
      <w:r>
        <w:rPr>
          <w:rStyle w:val="CommentReference"/>
        </w:rPr>
        <w:annotationRef/>
      </w:r>
      <w:hyperlink r:id="rId2" w:history="1">
        <w:r w:rsidRPr="003B4373">
          <w:rPr>
            <w:rStyle w:val="Hyperlink"/>
          </w:rPr>
          <w:t>https://vivideconomics.sharepoint.com/:b:/s/projects/171211HSB/EU3Tgk5ncz9JkecKq4dp_rIBLtubjJVfjMHp4Fjg3JKLpg?e=lWPKAd</w:t>
        </w:r>
      </w:hyperlink>
    </w:p>
  </w:comment>
  <w:comment w:id="2" w:author="Shyamal Patel" w:date="2018-03-07T13:19:00Z" w:initials="SP">
    <w:p w14:paraId="6E60C52F" w14:textId="29064DBD" w:rsidR="006E5DAE" w:rsidRDefault="006E5DAE">
      <w:pPr>
        <w:pStyle w:val="CommentText"/>
      </w:pPr>
      <w:r>
        <w:rPr>
          <w:rStyle w:val="CommentReference"/>
        </w:rPr>
        <w:annotationRef/>
      </w:r>
      <w:hyperlink r:id="rId3" w:history="1">
        <w:r w:rsidRPr="003B4373">
          <w:rPr>
            <w:rStyle w:val="Hyperlink"/>
          </w:rPr>
          <w:t>https://vivideconomics.sharepoint.com/:b:/s/projects/171211HSB/ETUftK7XVN5Jn15EKeVggDUBcy-1-5EUkzQkF5lyFCCqig?e=IRjlTQ</w:t>
        </w:r>
      </w:hyperlink>
    </w:p>
  </w:comment>
  <w:comment w:id="3" w:author="Shyamal Patel" w:date="2018-03-07T13:22:00Z" w:initials="SP">
    <w:p w14:paraId="151E5E4D" w14:textId="2AD7107A" w:rsidR="004C6E1D" w:rsidRDefault="004C6E1D">
      <w:pPr>
        <w:pStyle w:val="CommentText"/>
      </w:pPr>
      <w:r>
        <w:rPr>
          <w:rStyle w:val="CommentReference"/>
        </w:rPr>
        <w:annotationRef/>
      </w:r>
      <w:r>
        <w:t>Courtesy of Alex C</w:t>
      </w:r>
      <w:r w:rsidR="000F2CB6">
        <w:br/>
      </w:r>
      <w:hyperlink r:id="rId4" w:history="1">
        <w:r w:rsidR="000F2CB6" w:rsidRPr="003B4373">
          <w:rPr>
            <w:rStyle w:val="Hyperlink"/>
          </w:rPr>
          <w:t>https://vivideconomics.sharepoint.com/:b:/s/projects/171211HSB/EU6-HKMvMjJIpAnGWv6EbPcBwt58Z_bT84qn7Kc52O8DqQ?e=1YQLxU</w:t>
        </w:r>
      </w:hyperlink>
    </w:p>
  </w:comment>
  <w:comment w:id="4" w:author="Shyamal Patel" w:date="2018-03-07T13:23:00Z" w:initials="SP">
    <w:p w14:paraId="1366E192" w14:textId="117DB090" w:rsidR="00E35B10" w:rsidRDefault="00E35B10">
      <w:pPr>
        <w:pStyle w:val="CommentText"/>
      </w:pPr>
      <w:r>
        <w:rPr>
          <w:rStyle w:val="CommentReference"/>
        </w:rPr>
        <w:annotationRef/>
      </w:r>
      <w:hyperlink r:id="rId5" w:history="1">
        <w:r w:rsidRPr="003B4373">
          <w:rPr>
            <w:rStyle w:val="Hyperlink"/>
          </w:rPr>
          <w:t>https://vivideconomics.sharepoint.com/:b:/s/projects/171211HSB/EYMkT34UDXpIompGNaDcVZMBta9muFu9duEcm4bnhMP_ag?e=d3gcYl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B4DCCA" w15:done="0"/>
  <w15:commentEx w15:paraId="083A64FD" w15:done="0"/>
  <w15:commentEx w15:paraId="6E60C52F" w15:done="0"/>
  <w15:commentEx w15:paraId="151E5E4D" w15:done="0"/>
  <w15:commentEx w15:paraId="1366E1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B4DCCA" w16cid:durableId="1E4A565F"/>
  <w16cid:commentId w16cid:paraId="083A64FD" w16cid:durableId="1E4A5F4A"/>
  <w16cid:commentId w16cid:paraId="6E60C52F" w16cid:durableId="1E4A6568"/>
  <w16cid:commentId w16cid:paraId="151E5E4D" w16cid:durableId="1E4A660E"/>
  <w16cid:commentId w16cid:paraId="1366E192" w16cid:durableId="1E4A66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5E625" w14:textId="77777777" w:rsidR="00DC7E72" w:rsidRDefault="00DC7E72" w:rsidP="00AB14FC">
      <w:r>
        <w:separator/>
      </w:r>
    </w:p>
  </w:endnote>
  <w:endnote w:type="continuationSeparator" w:id="0">
    <w:p w14:paraId="4B6C0610" w14:textId="77777777" w:rsidR="00DC7E72" w:rsidRDefault="00DC7E72" w:rsidP="00AB1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0867E" w14:textId="388212C0" w:rsidR="003B484E" w:rsidRPr="00AB14FC" w:rsidRDefault="00B7651B" w:rsidP="00AB14FC">
    <w:pPr>
      <w:pStyle w:val="Footer"/>
      <w:jc w:val="center"/>
      <w:rPr>
        <w:rFonts w:ascii="Palatino Linotype" w:hAnsi="Palatino Linotype"/>
        <w:sz w:val="18"/>
        <w:szCs w:val="18"/>
      </w:rPr>
    </w:pPr>
    <w:sdt>
      <w:sdtPr>
        <w:id w:val="17136464"/>
        <w:docPartObj>
          <w:docPartGallery w:val="Page Numbers (Bottom of Page)"/>
          <w:docPartUnique/>
        </w:docPartObj>
      </w:sdtPr>
      <w:sdtEndPr>
        <w:rPr>
          <w:rFonts w:ascii="Palatino Linotype" w:hAnsi="Palatino Linotype"/>
          <w:sz w:val="18"/>
          <w:szCs w:val="18"/>
        </w:rPr>
      </w:sdtEndPr>
      <w:sdtContent>
        <w:r w:rsidR="003B484E" w:rsidRPr="00AB14FC">
          <w:rPr>
            <w:rFonts w:ascii="Palatino Linotype" w:hAnsi="Palatino Linotype"/>
            <w:sz w:val="18"/>
            <w:szCs w:val="18"/>
          </w:rPr>
          <w:fldChar w:fldCharType="begin"/>
        </w:r>
        <w:r w:rsidR="003B484E" w:rsidRPr="00AB14FC">
          <w:rPr>
            <w:rFonts w:ascii="Palatino Linotype" w:hAnsi="Palatino Linotype"/>
            <w:sz w:val="18"/>
            <w:szCs w:val="18"/>
          </w:rPr>
          <w:instrText xml:space="preserve"> PAGE   \* MERGEFORMAT </w:instrText>
        </w:r>
        <w:r w:rsidR="003B484E" w:rsidRPr="00AB14FC">
          <w:rPr>
            <w:rFonts w:ascii="Palatino Linotype" w:hAnsi="Palatino Linotype"/>
            <w:sz w:val="18"/>
            <w:szCs w:val="18"/>
          </w:rPr>
          <w:fldChar w:fldCharType="separate"/>
        </w:r>
        <w:r>
          <w:rPr>
            <w:rFonts w:ascii="Palatino Linotype" w:hAnsi="Palatino Linotype"/>
            <w:noProof/>
            <w:sz w:val="18"/>
            <w:szCs w:val="18"/>
          </w:rPr>
          <w:t>3</w:t>
        </w:r>
        <w:r w:rsidR="003B484E" w:rsidRPr="00AB14FC">
          <w:rPr>
            <w:rFonts w:ascii="Palatino Linotype" w:hAnsi="Palatino Linotype"/>
            <w:sz w:val="18"/>
            <w:szCs w:val="18"/>
          </w:rPr>
          <w:fldChar w:fldCharType="end"/>
        </w:r>
      </w:sdtContent>
    </w:sdt>
  </w:p>
  <w:p w14:paraId="4D74571B" w14:textId="77777777" w:rsidR="003B484E" w:rsidRDefault="003B48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EF1C2" w14:textId="65C806E3" w:rsidR="003B484E" w:rsidRDefault="00C45EC7" w:rsidP="00CA54EA">
    <w:pPr>
      <w:pStyle w:val="Footer"/>
      <w:jc w:val="right"/>
    </w:pPr>
    <w:r>
      <w:t>Shyamal Patel</w:t>
    </w:r>
  </w:p>
  <w:p w14:paraId="1CF8A088" w14:textId="57E55817" w:rsidR="003B484E" w:rsidRDefault="00C45EC7" w:rsidP="00CA54EA">
    <w:pPr>
      <w:pStyle w:val="Footer"/>
      <w:jc w:val="right"/>
    </w:pPr>
    <w:r>
      <w:t>07/03/2018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01831" w14:textId="77777777" w:rsidR="00DC7E72" w:rsidRDefault="00DC7E72" w:rsidP="00AB14FC">
      <w:r>
        <w:separator/>
      </w:r>
    </w:p>
  </w:footnote>
  <w:footnote w:type="continuationSeparator" w:id="0">
    <w:p w14:paraId="64AEA3A7" w14:textId="77777777" w:rsidR="00DC7E72" w:rsidRDefault="00DC7E72" w:rsidP="00AB1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866F0" w14:textId="77777777" w:rsidR="003B484E" w:rsidRDefault="003B484E" w:rsidP="00696387">
    <w:pPr>
      <w:pStyle w:val="Header"/>
      <w:spacing w:line="240" w:lineRule="auto"/>
    </w:pPr>
    <w:r w:rsidRPr="00AB14FC">
      <w:drawing>
        <wp:inline distT="0" distB="0" distL="0" distR="0" wp14:anchorId="75BA1811" wp14:editId="7F3A3C95">
          <wp:extent cx="2019300" cy="200025"/>
          <wp:effectExtent l="19050" t="0" r="0" b="0"/>
          <wp:docPr id="1" name="Picture 1" descr="C:\Users\VIVIDA~1\AppData\AppData\Local\Microsoft\Windows\Temporary Internet Files\Content.Outlook\D1INUWPC\January\Macintosh HD:Users:charlottedewar:Desktop:people brands work:Robin's project:artwork:logo:vivid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VIDA~1\AppData\AppData\Local\Microsoft\Windows\Temporary Internet Files\Content.Outlook\D1INUWPC\January\Macintosh HD:Users:charlottedewar:Desktop:people brands work:Robin's project:artwork:logo:vivid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741DC40" w14:textId="77777777" w:rsidR="003B484E" w:rsidRDefault="003B48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73727" w14:textId="77777777" w:rsidR="003B484E" w:rsidRDefault="003B484E" w:rsidP="00352AB1">
    <w:pPr>
      <w:pStyle w:val="Header"/>
      <w:spacing w:line="240" w:lineRule="auto"/>
    </w:pPr>
    <w:r>
      <w:drawing>
        <wp:anchor distT="0" distB="0" distL="114300" distR="114300" simplePos="0" relativeHeight="251658240" behindDoc="0" locked="0" layoutInCell="1" allowOverlap="1" wp14:anchorId="78331C6F" wp14:editId="5BD6B559">
          <wp:simplePos x="0" y="0"/>
          <wp:positionH relativeFrom="margin">
            <wp:posOffset>4152900</wp:posOffset>
          </wp:positionH>
          <wp:positionV relativeFrom="margin">
            <wp:posOffset>-395605</wp:posOffset>
          </wp:positionV>
          <wp:extent cx="2019300" cy="200025"/>
          <wp:effectExtent l="19050" t="0" r="0" b="0"/>
          <wp:wrapSquare wrapText="bothSides"/>
          <wp:docPr id="5" name="Picture 1" descr="C:\Users\VIVIDA~1\AppData\AppData\Local\Microsoft\Windows\Temporary Internet Files\Content.Outlook\D1INUWPC\January\Macintosh HD:Users:charlottedewar:Desktop:people brands work:Robin's project:artwork:logo:vivid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VIDA~1\AppData\AppData\Local\Microsoft\Windows\Temporary Internet Files\Content.Outlook\D1INUWPC\January\Macintosh HD:Users:charlottedewar:Desktop:people brands work:Robin's project:artwork:logo:vivid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5BB9197" w14:textId="77777777" w:rsidR="003B484E" w:rsidRDefault="003B484E" w:rsidP="007E1EF4">
    <w:pPr>
      <w:pStyle w:val="Header"/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50273"/>
    <w:multiLevelType w:val="hybridMultilevel"/>
    <w:tmpl w:val="F3BC1042"/>
    <w:lvl w:ilvl="0" w:tplc="5002E2AE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79F60C6"/>
    <w:multiLevelType w:val="hybridMultilevel"/>
    <w:tmpl w:val="4244AA1C"/>
    <w:lvl w:ilvl="0" w:tplc="B614B362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93112F5"/>
    <w:multiLevelType w:val="hybridMultilevel"/>
    <w:tmpl w:val="C92C42BE"/>
    <w:lvl w:ilvl="0" w:tplc="739EDDD4">
      <w:start w:val="1"/>
      <w:numFmt w:val="decimal"/>
      <w:pStyle w:val="Charttitle"/>
      <w:lvlText w:val="Figure %1."/>
      <w:lvlJc w:val="left"/>
      <w:pPr>
        <w:ind w:left="360" w:hanging="360"/>
      </w:pPr>
      <w:rPr>
        <w:rFonts w:ascii="Cambria" w:hAnsi="Cambria" w:hint="default"/>
        <w:b w:val="0"/>
        <w:i/>
        <w:caps w:val="0"/>
        <w:strike w:val="0"/>
        <w:dstrike w:val="0"/>
        <w:vanish w:val="0"/>
        <w:color w:val="000000" w:themeColor="text1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54A5F"/>
    <w:multiLevelType w:val="hybridMultilevel"/>
    <w:tmpl w:val="CEFC14BA"/>
    <w:lvl w:ilvl="0" w:tplc="81588DA0">
      <w:start w:val="1"/>
      <w:numFmt w:val="decimal"/>
      <w:pStyle w:val="Boxtitle"/>
      <w:lvlText w:val="Box %1."/>
      <w:lvlJc w:val="left"/>
      <w:pPr>
        <w:ind w:left="360" w:hanging="360"/>
      </w:pPr>
      <w:rPr>
        <w:rFonts w:ascii="Cambria" w:hAnsi="Cambria" w:hint="default"/>
        <w:b w:val="0"/>
        <w:i/>
        <w:caps w:val="0"/>
        <w:strike w:val="0"/>
        <w:dstrike w:val="0"/>
        <w:vanish w:val="0"/>
        <w:color w:val="000000" w:themeColor="text1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D3278"/>
    <w:multiLevelType w:val="multilevel"/>
    <w:tmpl w:val="86083FC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3556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A6F0B25"/>
    <w:multiLevelType w:val="hybridMultilevel"/>
    <w:tmpl w:val="ABCE7DF8"/>
    <w:lvl w:ilvl="0" w:tplc="AA1217A2">
      <w:numFmt w:val="bullet"/>
      <w:pStyle w:val="Dashedbullets"/>
      <w:lvlText w:val="—"/>
      <w:lvlJc w:val="left"/>
      <w:pPr>
        <w:ind w:left="360" w:hanging="360"/>
      </w:pPr>
      <w:rPr>
        <w:rFonts w:ascii="Arial" w:eastAsiaTheme="minorHAnsi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A2B25"/>
    <w:multiLevelType w:val="hybridMultilevel"/>
    <w:tmpl w:val="C074C6BC"/>
    <w:lvl w:ilvl="0" w:tplc="5306719A">
      <w:start w:val="1"/>
      <w:numFmt w:val="decimal"/>
      <w:pStyle w:val="Tabletitle"/>
      <w:lvlText w:val="Table %1."/>
      <w:lvlJc w:val="left"/>
      <w:pPr>
        <w:ind w:left="360" w:hanging="360"/>
      </w:pPr>
      <w:rPr>
        <w:rFonts w:ascii="Cambria" w:hAnsi="Cambria" w:hint="default"/>
        <w:b w:val="0"/>
        <w:bCs w:val="0"/>
        <w:i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F1181"/>
    <w:multiLevelType w:val="hybridMultilevel"/>
    <w:tmpl w:val="BCF69DC4"/>
    <w:lvl w:ilvl="0" w:tplc="E794A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5"/>
  </w:num>
  <w:num w:numId="15">
    <w:abstractNumId w:val="6"/>
  </w:num>
  <w:num w:numId="16">
    <w:abstractNumId w:val="4"/>
  </w:num>
  <w:num w:numId="17">
    <w:abstractNumId w:val="0"/>
  </w:num>
  <w:num w:numId="18">
    <w:abstractNumId w:val="1"/>
  </w:num>
  <w:num w:numId="1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yamal Patel">
    <w15:presenceInfo w15:providerId="None" w15:userId="Shyamal Pat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72"/>
    <w:rsid w:val="00012CCA"/>
    <w:rsid w:val="00030862"/>
    <w:rsid w:val="00032751"/>
    <w:rsid w:val="0005367E"/>
    <w:rsid w:val="00055978"/>
    <w:rsid w:val="000707C5"/>
    <w:rsid w:val="00090E25"/>
    <w:rsid w:val="0009253E"/>
    <w:rsid w:val="000C0C40"/>
    <w:rsid w:val="000E47BB"/>
    <w:rsid w:val="000E47C0"/>
    <w:rsid w:val="000E680C"/>
    <w:rsid w:val="000F2CB6"/>
    <w:rsid w:val="001535A9"/>
    <w:rsid w:val="00170726"/>
    <w:rsid w:val="001919E0"/>
    <w:rsid w:val="001A7F7D"/>
    <w:rsid w:val="001B7636"/>
    <w:rsid w:val="001F528D"/>
    <w:rsid w:val="0021038A"/>
    <w:rsid w:val="00221B4D"/>
    <w:rsid w:val="00230395"/>
    <w:rsid w:val="00232F2D"/>
    <w:rsid w:val="00237776"/>
    <w:rsid w:val="00244067"/>
    <w:rsid w:val="00245FCF"/>
    <w:rsid w:val="00256096"/>
    <w:rsid w:val="00266CC1"/>
    <w:rsid w:val="002921FD"/>
    <w:rsid w:val="00292EF9"/>
    <w:rsid w:val="002A7556"/>
    <w:rsid w:val="002C2240"/>
    <w:rsid w:val="002F4EB2"/>
    <w:rsid w:val="003038BF"/>
    <w:rsid w:val="0030436C"/>
    <w:rsid w:val="00351073"/>
    <w:rsid w:val="00352AB1"/>
    <w:rsid w:val="003B484E"/>
    <w:rsid w:val="003B613E"/>
    <w:rsid w:val="003E33D4"/>
    <w:rsid w:val="00432FC1"/>
    <w:rsid w:val="00444FA9"/>
    <w:rsid w:val="00467D3A"/>
    <w:rsid w:val="00472C55"/>
    <w:rsid w:val="004810C6"/>
    <w:rsid w:val="00487F22"/>
    <w:rsid w:val="0049096F"/>
    <w:rsid w:val="004A5239"/>
    <w:rsid w:val="004C6E1D"/>
    <w:rsid w:val="004D1EBF"/>
    <w:rsid w:val="004F5316"/>
    <w:rsid w:val="00502DD4"/>
    <w:rsid w:val="005109E4"/>
    <w:rsid w:val="00514FEB"/>
    <w:rsid w:val="00515D7F"/>
    <w:rsid w:val="005460BF"/>
    <w:rsid w:val="00550C70"/>
    <w:rsid w:val="00554598"/>
    <w:rsid w:val="00563A4D"/>
    <w:rsid w:val="005A5C25"/>
    <w:rsid w:val="005C480B"/>
    <w:rsid w:val="005D75DB"/>
    <w:rsid w:val="0061542F"/>
    <w:rsid w:val="00634A46"/>
    <w:rsid w:val="00637D10"/>
    <w:rsid w:val="00667A14"/>
    <w:rsid w:val="0068064C"/>
    <w:rsid w:val="006901D3"/>
    <w:rsid w:val="006960CB"/>
    <w:rsid w:val="00696387"/>
    <w:rsid w:val="006A3915"/>
    <w:rsid w:val="006C02E9"/>
    <w:rsid w:val="006D359D"/>
    <w:rsid w:val="006D3FD8"/>
    <w:rsid w:val="006E12B9"/>
    <w:rsid w:val="006E5DAE"/>
    <w:rsid w:val="006F3187"/>
    <w:rsid w:val="00737C3C"/>
    <w:rsid w:val="007402CB"/>
    <w:rsid w:val="007412E6"/>
    <w:rsid w:val="00746BAC"/>
    <w:rsid w:val="007509E8"/>
    <w:rsid w:val="00760048"/>
    <w:rsid w:val="00783C65"/>
    <w:rsid w:val="00791574"/>
    <w:rsid w:val="007A277D"/>
    <w:rsid w:val="007A4185"/>
    <w:rsid w:val="007A4689"/>
    <w:rsid w:val="007C2892"/>
    <w:rsid w:val="007E1EF4"/>
    <w:rsid w:val="007F5B7B"/>
    <w:rsid w:val="00806AF0"/>
    <w:rsid w:val="00873130"/>
    <w:rsid w:val="008B5ADC"/>
    <w:rsid w:val="008C03AE"/>
    <w:rsid w:val="008E3DC9"/>
    <w:rsid w:val="008F4F06"/>
    <w:rsid w:val="008F62AA"/>
    <w:rsid w:val="009058F2"/>
    <w:rsid w:val="009335C9"/>
    <w:rsid w:val="00961BE9"/>
    <w:rsid w:val="00967803"/>
    <w:rsid w:val="0097565F"/>
    <w:rsid w:val="009871C4"/>
    <w:rsid w:val="00996936"/>
    <w:rsid w:val="009A42D4"/>
    <w:rsid w:val="009A5A85"/>
    <w:rsid w:val="009A6788"/>
    <w:rsid w:val="009C2BD0"/>
    <w:rsid w:val="009F157F"/>
    <w:rsid w:val="00A01D4B"/>
    <w:rsid w:val="00A1072C"/>
    <w:rsid w:val="00A17A84"/>
    <w:rsid w:val="00AA25B8"/>
    <w:rsid w:val="00AB14FC"/>
    <w:rsid w:val="00AB63E1"/>
    <w:rsid w:val="00AD0E56"/>
    <w:rsid w:val="00AE41D1"/>
    <w:rsid w:val="00B36119"/>
    <w:rsid w:val="00B36F5B"/>
    <w:rsid w:val="00B43588"/>
    <w:rsid w:val="00B7651B"/>
    <w:rsid w:val="00B82D74"/>
    <w:rsid w:val="00B95795"/>
    <w:rsid w:val="00BC45EF"/>
    <w:rsid w:val="00BC5EC4"/>
    <w:rsid w:val="00BC602A"/>
    <w:rsid w:val="00BC7B33"/>
    <w:rsid w:val="00BD17C7"/>
    <w:rsid w:val="00BD49B3"/>
    <w:rsid w:val="00BD54B7"/>
    <w:rsid w:val="00C12EE6"/>
    <w:rsid w:val="00C14ED4"/>
    <w:rsid w:val="00C405EE"/>
    <w:rsid w:val="00C45EC7"/>
    <w:rsid w:val="00C72D2E"/>
    <w:rsid w:val="00C90A8E"/>
    <w:rsid w:val="00C96305"/>
    <w:rsid w:val="00CA54EA"/>
    <w:rsid w:val="00CB7E58"/>
    <w:rsid w:val="00CC56C2"/>
    <w:rsid w:val="00CE5DB4"/>
    <w:rsid w:val="00D05024"/>
    <w:rsid w:val="00D13CDD"/>
    <w:rsid w:val="00D24367"/>
    <w:rsid w:val="00D26B07"/>
    <w:rsid w:val="00D352AB"/>
    <w:rsid w:val="00D64195"/>
    <w:rsid w:val="00D74FA3"/>
    <w:rsid w:val="00D83C20"/>
    <w:rsid w:val="00D848DD"/>
    <w:rsid w:val="00D91024"/>
    <w:rsid w:val="00D934B1"/>
    <w:rsid w:val="00DA3D2B"/>
    <w:rsid w:val="00DA7D10"/>
    <w:rsid w:val="00DC7E72"/>
    <w:rsid w:val="00E058BE"/>
    <w:rsid w:val="00E131CD"/>
    <w:rsid w:val="00E20508"/>
    <w:rsid w:val="00E35B10"/>
    <w:rsid w:val="00E46DF3"/>
    <w:rsid w:val="00E4730B"/>
    <w:rsid w:val="00E633AC"/>
    <w:rsid w:val="00E6621D"/>
    <w:rsid w:val="00E66538"/>
    <w:rsid w:val="00E72386"/>
    <w:rsid w:val="00E764AE"/>
    <w:rsid w:val="00E77710"/>
    <w:rsid w:val="00E90BC4"/>
    <w:rsid w:val="00E91BFE"/>
    <w:rsid w:val="00EA1C79"/>
    <w:rsid w:val="00EA594C"/>
    <w:rsid w:val="00EB000C"/>
    <w:rsid w:val="00EE6EE1"/>
    <w:rsid w:val="00F070F1"/>
    <w:rsid w:val="00F23705"/>
    <w:rsid w:val="00F7328D"/>
    <w:rsid w:val="00F74545"/>
    <w:rsid w:val="00F7655F"/>
    <w:rsid w:val="00F8217B"/>
    <w:rsid w:val="00F8335C"/>
    <w:rsid w:val="00F915E3"/>
    <w:rsid w:val="00FA7AD8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7447B"/>
  <w15:docId w15:val="{6289E013-A96C-443A-9E19-B8EDF298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iPriority="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185"/>
    <w:pPr>
      <w:spacing w:after="0" w:line="300" w:lineRule="exact"/>
    </w:pPr>
    <w:rPr>
      <w:rFonts w:ascii="Calibri" w:hAnsi="Calibri"/>
      <w:color w:val="000000" w:themeColor="text1"/>
    </w:rPr>
  </w:style>
  <w:style w:type="paragraph" w:styleId="Heading1">
    <w:name w:val="heading 1"/>
    <w:aliases w:val="Subject page,Section title"/>
    <w:basedOn w:val="Normal"/>
    <w:next w:val="Normal"/>
    <w:link w:val="Heading1Char"/>
    <w:uiPriority w:val="9"/>
    <w:qFormat/>
    <w:rsid w:val="007A4185"/>
    <w:pPr>
      <w:pageBreakBefore/>
      <w:numPr>
        <w:numId w:val="16"/>
      </w:numPr>
      <w:autoSpaceDE w:val="0"/>
      <w:autoSpaceDN w:val="0"/>
      <w:adjustRightInd w:val="0"/>
      <w:spacing w:after="120" w:line="600" w:lineRule="exact"/>
      <w:outlineLvl w:val="0"/>
    </w:pPr>
    <w:rPr>
      <w:rFonts w:cstheme="minorHAnsi"/>
      <w:sz w:val="44"/>
      <w:szCs w:val="60"/>
    </w:rPr>
  </w:style>
  <w:style w:type="paragraph" w:styleId="Heading2">
    <w:name w:val="heading 2"/>
    <w:aliases w:val="Sub-heading,Subject title"/>
    <w:basedOn w:val="Heading1"/>
    <w:next w:val="Normal"/>
    <w:link w:val="Heading2Char"/>
    <w:uiPriority w:val="9"/>
    <w:unhideWhenUsed/>
    <w:qFormat/>
    <w:rsid w:val="007A4185"/>
    <w:pPr>
      <w:keepNext/>
      <w:pageBreakBefore w:val="0"/>
      <w:numPr>
        <w:ilvl w:val="1"/>
      </w:numPr>
      <w:spacing w:after="240" w:line="300" w:lineRule="exac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4AE"/>
    <w:pPr>
      <w:keepNext/>
      <w:numPr>
        <w:ilvl w:val="2"/>
        <w:numId w:val="16"/>
      </w:numPr>
      <w:spacing w:before="60" w:after="60"/>
      <w:ind w:left="720"/>
      <w:outlineLvl w:val="2"/>
    </w:pPr>
    <w:rPr>
      <w:rFonts w:cstheme="minorHAnsi"/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7A4185"/>
    <w:pPr>
      <w:numPr>
        <w:ilvl w:val="3"/>
        <w:numId w:val="16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rsid w:val="007A4185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4185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A4185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A4185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185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A4185"/>
    <w:pPr>
      <w:pBdr>
        <w:bottom w:val="single" w:sz="4" w:space="4" w:color="auto"/>
      </w:pBdr>
      <w:spacing w:line="140" w:lineRule="exact"/>
      <w:jc w:val="right"/>
    </w:pPr>
    <w:rPr>
      <w:rFonts w:asciiTheme="majorHAnsi" w:hAnsiTheme="majorHAnsi" w:cstheme="majorHAnsi"/>
      <w:noProof/>
      <w:sz w:val="12"/>
      <w:szCs w:val="1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7A4185"/>
    <w:rPr>
      <w:rFonts w:asciiTheme="majorHAnsi" w:hAnsiTheme="majorHAnsi" w:cstheme="majorHAnsi"/>
      <w:noProof/>
      <w:color w:val="000000" w:themeColor="text1"/>
      <w:sz w:val="12"/>
      <w:szCs w:val="12"/>
      <w:lang w:eastAsia="en-GB"/>
    </w:rPr>
  </w:style>
  <w:style w:type="paragraph" w:styleId="Footer">
    <w:name w:val="footer"/>
    <w:basedOn w:val="Normal"/>
    <w:link w:val="FooterChar"/>
    <w:uiPriority w:val="9"/>
    <w:unhideWhenUsed/>
    <w:rsid w:val="007A41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"/>
    <w:rsid w:val="007A4185"/>
    <w:rPr>
      <w:rFonts w:ascii="Calibri" w:hAnsi="Calibr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1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185"/>
    <w:rPr>
      <w:rFonts w:ascii="Tahoma" w:hAnsi="Tahoma" w:cs="Tahoma"/>
      <w:color w:val="000000" w:themeColor="text1"/>
      <w:sz w:val="16"/>
      <w:szCs w:val="16"/>
    </w:rPr>
  </w:style>
  <w:style w:type="paragraph" w:customStyle="1" w:styleId="Dashedbullets">
    <w:name w:val="Dashed bullets"/>
    <w:basedOn w:val="Normal"/>
    <w:qFormat/>
    <w:rsid w:val="007A4185"/>
    <w:pPr>
      <w:numPr>
        <w:numId w:val="14"/>
      </w:numPr>
    </w:pPr>
  </w:style>
  <w:style w:type="character" w:customStyle="1" w:styleId="Heading1Char">
    <w:name w:val="Heading 1 Char"/>
    <w:aliases w:val="Subject page Char,Section title Char"/>
    <w:basedOn w:val="DefaultParagraphFont"/>
    <w:link w:val="Heading1"/>
    <w:uiPriority w:val="9"/>
    <w:rsid w:val="007A4185"/>
    <w:rPr>
      <w:rFonts w:ascii="Calibri" w:hAnsi="Calibri" w:cstheme="minorHAnsi"/>
      <w:color w:val="000000" w:themeColor="text1"/>
      <w:sz w:val="44"/>
      <w:szCs w:val="60"/>
    </w:rPr>
  </w:style>
  <w:style w:type="character" w:customStyle="1" w:styleId="Heading2Char">
    <w:name w:val="Heading 2 Char"/>
    <w:aliases w:val="Sub-heading Char,Subject title Char"/>
    <w:basedOn w:val="DefaultParagraphFont"/>
    <w:link w:val="Heading2"/>
    <w:uiPriority w:val="9"/>
    <w:rsid w:val="007A4185"/>
    <w:rPr>
      <w:rFonts w:ascii="Calibri" w:hAnsi="Calibri" w:cstheme="minorHAnsi"/>
      <w:b/>
      <w:color w:val="000000" w:themeColor="text1"/>
      <w:sz w:val="28"/>
      <w:szCs w:val="60"/>
    </w:rPr>
  </w:style>
  <w:style w:type="character" w:customStyle="1" w:styleId="Heading3Char">
    <w:name w:val="Heading 3 Char"/>
    <w:basedOn w:val="DefaultParagraphFont"/>
    <w:link w:val="Heading3"/>
    <w:uiPriority w:val="9"/>
    <w:rsid w:val="00E764AE"/>
    <w:rPr>
      <w:rFonts w:ascii="Calibri" w:hAnsi="Calibri" w:cstheme="minorHAns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A4185"/>
    <w:rPr>
      <w:rFonts w:ascii="Calibri" w:hAnsi="Calibr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7A41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A41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41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A4185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customStyle="1" w:styleId="Acknowledgements">
    <w:name w:val="Acknowledgements"/>
    <w:basedOn w:val="Normal"/>
    <w:qFormat/>
    <w:rsid w:val="007A4185"/>
    <w:pPr>
      <w:pageBreakBefore/>
      <w:spacing w:after="480" w:line="600" w:lineRule="exact"/>
    </w:pPr>
    <w:rPr>
      <w:sz w:val="44"/>
      <w:szCs w:val="60"/>
    </w:rPr>
  </w:style>
  <w:style w:type="paragraph" w:customStyle="1" w:styleId="Appendix">
    <w:name w:val="Appendix"/>
    <w:basedOn w:val="Heading1"/>
    <w:qFormat/>
    <w:rsid w:val="007A4185"/>
    <w:pPr>
      <w:numPr>
        <w:numId w:val="0"/>
      </w:numPr>
      <w:spacing w:after="480"/>
    </w:pPr>
  </w:style>
  <w:style w:type="paragraph" w:customStyle="1" w:styleId="Subheading">
    <w:name w:val="Subheading"/>
    <w:basedOn w:val="Normal"/>
    <w:qFormat/>
    <w:rsid w:val="007A4185"/>
    <w:pPr>
      <w:autoSpaceDE w:val="0"/>
      <w:autoSpaceDN w:val="0"/>
      <w:adjustRightInd w:val="0"/>
      <w:spacing w:before="240" w:after="600" w:line="360" w:lineRule="exact"/>
    </w:pPr>
    <w:rPr>
      <w:rFonts w:cstheme="minorHAnsi"/>
      <w:b/>
      <w:bCs/>
      <w:sz w:val="28"/>
      <w:szCs w:val="30"/>
    </w:rPr>
  </w:style>
  <w:style w:type="paragraph" w:customStyle="1" w:styleId="Appendixheading">
    <w:name w:val="Appendix heading"/>
    <w:basedOn w:val="Subheading"/>
    <w:next w:val="Normal"/>
    <w:qFormat/>
    <w:rsid w:val="007A4185"/>
    <w:pPr>
      <w:spacing w:before="120" w:after="120"/>
    </w:pPr>
  </w:style>
  <w:style w:type="paragraph" w:customStyle="1" w:styleId="Charttitle">
    <w:name w:val="Chart title"/>
    <w:basedOn w:val="Normal"/>
    <w:qFormat/>
    <w:rsid w:val="007A4185"/>
    <w:pPr>
      <w:keepNext/>
      <w:numPr>
        <w:numId w:val="3"/>
      </w:numPr>
      <w:pBdr>
        <w:top w:val="single" w:sz="4" w:space="1" w:color="7F7F7F" w:themeColor="text1" w:themeTint="80"/>
      </w:pBdr>
      <w:autoSpaceDE w:val="0"/>
      <w:autoSpaceDN w:val="0"/>
      <w:adjustRightInd w:val="0"/>
      <w:spacing w:before="480" w:after="120" w:line="220" w:lineRule="atLeast"/>
    </w:pPr>
    <w:rPr>
      <w:rFonts w:cstheme="minorHAnsi"/>
      <w:b/>
      <w:iCs/>
      <w:color w:val="000000"/>
      <w:sz w:val="20"/>
      <w:szCs w:val="20"/>
    </w:rPr>
  </w:style>
  <w:style w:type="paragraph" w:customStyle="1" w:styleId="Boxtitle">
    <w:name w:val="Box title"/>
    <w:basedOn w:val="Charttitle"/>
    <w:qFormat/>
    <w:rsid w:val="007A4185"/>
    <w:pPr>
      <w:numPr>
        <w:numId w:val="4"/>
      </w:numPr>
      <w:pBdr>
        <w:top w:val="none" w:sz="0" w:space="0" w:color="auto"/>
      </w:pBdr>
      <w:spacing w:before="240" w:after="240"/>
    </w:pPr>
    <w:rPr>
      <w:color w:val="000000" w:themeColor="text1"/>
    </w:rPr>
  </w:style>
  <w:style w:type="paragraph" w:customStyle="1" w:styleId="Chartspacer">
    <w:name w:val="Chart spacer"/>
    <w:basedOn w:val="Normal"/>
    <w:qFormat/>
    <w:rsid w:val="007A4185"/>
    <w:pPr>
      <w:spacing w:line="240" w:lineRule="auto"/>
    </w:pPr>
    <w:rPr>
      <w:sz w:val="8"/>
      <w:szCs w:val="8"/>
    </w:rPr>
  </w:style>
  <w:style w:type="paragraph" w:customStyle="1" w:styleId="Client">
    <w:name w:val="Client"/>
    <w:basedOn w:val="Normal"/>
    <w:rsid w:val="007A4185"/>
    <w:pPr>
      <w:spacing w:before="360" w:line="360" w:lineRule="exact"/>
      <w:ind w:left="2410"/>
    </w:pPr>
    <w:rPr>
      <w:rFonts w:asciiTheme="minorHAnsi" w:hAnsiTheme="minorHAnsi" w:cstheme="minorHAnsi"/>
      <w:b/>
      <w:sz w:val="28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A41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1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185"/>
    <w:rPr>
      <w:rFonts w:ascii="Calibri" w:hAnsi="Calibri"/>
      <w:color w:val="000000" w:themeColor="text1"/>
      <w:sz w:val="20"/>
      <w:szCs w:val="20"/>
    </w:rPr>
  </w:style>
  <w:style w:type="paragraph" w:customStyle="1" w:styleId="CompanyProfile">
    <w:name w:val="Company Profile"/>
    <w:basedOn w:val="Normal"/>
    <w:qFormat/>
    <w:rsid w:val="007A4185"/>
  </w:style>
  <w:style w:type="paragraph" w:customStyle="1" w:styleId="Contents">
    <w:name w:val="Contents"/>
    <w:basedOn w:val="Normal"/>
    <w:rsid w:val="007A4185"/>
    <w:pPr>
      <w:pageBreakBefore/>
      <w:spacing w:after="540" w:line="600" w:lineRule="exact"/>
      <w:ind w:left="2410"/>
    </w:pPr>
    <w:rPr>
      <w:rFonts w:cs="Arial"/>
      <w:color w:val="221E1F"/>
      <w:sz w:val="60"/>
      <w:szCs w:val="60"/>
    </w:rPr>
  </w:style>
  <w:style w:type="paragraph" w:styleId="Date">
    <w:name w:val="Date"/>
    <w:basedOn w:val="Normal"/>
    <w:next w:val="Normal"/>
    <w:link w:val="DateChar"/>
    <w:uiPriority w:val="9"/>
    <w:rsid w:val="007A4185"/>
    <w:pPr>
      <w:spacing w:line="360" w:lineRule="exact"/>
      <w:ind w:left="2410"/>
    </w:pPr>
    <w:rPr>
      <w:rFonts w:asciiTheme="minorHAnsi" w:hAnsiTheme="minorHAnsi" w:cstheme="minorHAnsi"/>
      <w:color w:val="666666"/>
      <w:sz w:val="28"/>
      <w:szCs w:val="30"/>
    </w:rPr>
  </w:style>
  <w:style w:type="character" w:customStyle="1" w:styleId="DateChar">
    <w:name w:val="Date Char"/>
    <w:basedOn w:val="DefaultParagraphFont"/>
    <w:link w:val="Date"/>
    <w:uiPriority w:val="9"/>
    <w:rsid w:val="007A4185"/>
    <w:rPr>
      <w:rFonts w:cstheme="minorHAnsi"/>
      <w:color w:val="666666"/>
      <w:sz w:val="28"/>
      <w:szCs w:val="30"/>
    </w:rPr>
  </w:style>
  <w:style w:type="paragraph" w:customStyle="1" w:styleId="ExecutiveSummary">
    <w:name w:val="Executive Summary"/>
    <w:basedOn w:val="Heading1"/>
    <w:rsid w:val="007A4185"/>
    <w:pPr>
      <w:numPr>
        <w:numId w:val="0"/>
      </w:numPr>
      <w:outlineLvl w:val="9"/>
    </w:pPr>
  </w:style>
  <w:style w:type="character" w:styleId="FootnoteReference">
    <w:name w:val="footnote reference"/>
    <w:basedOn w:val="DefaultParagraphFont"/>
    <w:uiPriority w:val="99"/>
    <w:semiHidden/>
    <w:unhideWhenUsed/>
    <w:rsid w:val="007A4185"/>
    <w:rPr>
      <w:vertAlign w:val="superscript"/>
    </w:rPr>
  </w:style>
  <w:style w:type="paragraph" w:styleId="FootnoteText">
    <w:name w:val="footnote text"/>
    <w:basedOn w:val="Normal"/>
    <w:link w:val="FootnoteTextChar"/>
    <w:uiPriority w:val="9"/>
    <w:rsid w:val="007A4185"/>
    <w:pPr>
      <w:pBdr>
        <w:top w:val="single" w:sz="4" w:space="1" w:color="7F7F7F" w:themeColor="text1" w:themeTint="80"/>
      </w:pBdr>
      <w:spacing w:before="120" w:after="240" w:line="240" w:lineRule="auto"/>
    </w:pPr>
    <w:rPr>
      <w:rFonts w:asciiTheme="minorHAnsi" w:hAnsiTheme="minorHAnsi" w:cstheme="minorHAnsi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7A4185"/>
    <w:rPr>
      <w:rFonts w:cstheme="minorHAnsi"/>
      <w:color w:val="000000" w:themeColor="text1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185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7A4185"/>
    <w:rPr>
      <w:color w:val="008CD1"/>
      <w:u w:val="single"/>
    </w:rPr>
  </w:style>
  <w:style w:type="paragraph" w:customStyle="1" w:styleId="Indentedbullet">
    <w:name w:val="Indented bullet"/>
    <w:basedOn w:val="Dashedbullets"/>
    <w:qFormat/>
    <w:rsid w:val="007A4185"/>
    <w:pPr>
      <w:ind w:left="568"/>
    </w:pPr>
  </w:style>
  <w:style w:type="paragraph" w:customStyle="1" w:styleId="Listoffigures">
    <w:name w:val="List of figures"/>
    <w:basedOn w:val="Contents"/>
    <w:rsid w:val="007A4185"/>
    <w:pPr>
      <w:pageBreakBefore w:val="0"/>
      <w:spacing w:before="120"/>
    </w:pPr>
  </w:style>
  <w:style w:type="paragraph" w:styleId="ListParagraph">
    <w:name w:val="List Paragraph"/>
    <w:basedOn w:val="Normal"/>
    <w:uiPriority w:val="34"/>
    <w:qFormat/>
    <w:rsid w:val="007A4185"/>
    <w:pPr>
      <w:ind w:left="720"/>
      <w:contextualSpacing/>
    </w:pPr>
  </w:style>
  <w:style w:type="paragraph" w:customStyle="1" w:styleId="Longquote">
    <w:name w:val="Long quote"/>
    <w:basedOn w:val="Normal"/>
    <w:qFormat/>
    <w:rsid w:val="007A4185"/>
    <w:pPr>
      <w:suppressAutoHyphens/>
      <w:autoSpaceDE w:val="0"/>
      <w:autoSpaceDN w:val="0"/>
      <w:adjustRightInd w:val="0"/>
      <w:spacing w:before="360" w:after="360" w:line="300" w:lineRule="atLeast"/>
      <w:ind w:left="1134" w:right="1134"/>
      <w:textAlignment w:val="center"/>
    </w:pPr>
    <w:rPr>
      <w:rFonts w:cs="Times New Roman"/>
      <w:i/>
    </w:rPr>
  </w:style>
  <w:style w:type="paragraph" w:styleId="NoSpacing">
    <w:name w:val="No Spacing"/>
    <w:uiPriority w:val="1"/>
    <w:qFormat/>
    <w:rsid w:val="007A4185"/>
    <w:pPr>
      <w:spacing w:after="0" w:line="240" w:lineRule="auto"/>
    </w:pPr>
    <w:rPr>
      <w:rFonts w:ascii="Calibri" w:hAnsi="Calibri"/>
      <w:color w:val="000000" w:themeColor="text1"/>
    </w:rPr>
  </w:style>
  <w:style w:type="paragraph" w:customStyle="1" w:styleId="Source">
    <w:name w:val="Source"/>
    <w:basedOn w:val="Normal"/>
    <w:qFormat/>
    <w:rsid w:val="007A4185"/>
    <w:pPr>
      <w:pBdr>
        <w:top w:val="single" w:sz="4" w:space="1" w:color="7F7F7F" w:themeColor="text1" w:themeTint="80"/>
      </w:pBdr>
      <w:autoSpaceDE w:val="0"/>
      <w:autoSpaceDN w:val="0"/>
      <w:adjustRightInd w:val="0"/>
      <w:spacing w:after="480"/>
      <w:ind w:left="993" w:hanging="993"/>
    </w:pPr>
    <w:rPr>
      <w:rFonts w:cstheme="minorHAnsi"/>
      <w:i/>
      <w:iCs/>
      <w:sz w:val="18"/>
      <w:szCs w:val="16"/>
    </w:rPr>
  </w:style>
  <w:style w:type="paragraph" w:customStyle="1" w:styleId="Note">
    <w:name w:val="Note"/>
    <w:basedOn w:val="Source"/>
    <w:qFormat/>
    <w:rsid w:val="007A4185"/>
    <w:pPr>
      <w:keepNext/>
      <w:spacing w:after="0"/>
    </w:pPr>
  </w:style>
  <w:style w:type="character" w:styleId="PageNumber">
    <w:name w:val="page number"/>
    <w:basedOn w:val="DefaultParagraphFont"/>
    <w:uiPriority w:val="99"/>
    <w:rsid w:val="007A4185"/>
    <w:rPr>
      <w:rFonts w:asciiTheme="minorHAnsi" w:hAnsiTheme="minorHAnsi"/>
      <w:sz w:val="16"/>
    </w:rPr>
  </w:style>
  <w:style w:type="character" w:styleId="PlaceholderText">
    <w:name w:val="Placeholder Text"/>
    <w:uiPriority w:val="99"/>
    <w:qFormat/>
    <w:rsid w:val="007A4185"/>
  </w:style>
  <w:style w:type="paragraph" w:styleId="Quote">
    <w:name w:val="Quote"/>
    <w:basedOn w:val="Normal"/>
    <w:next w:val="Normal"/>
    <w:link w:val="QuoteChar"/>
    <w:uiPriority w:val="9"/>
    <w:qFormat/>
    <w:rsid w:val="007A4185"/>
    <w:pPr>
      <w:spacing w:line="480" w:lineRule="exact"/>
    </w:pPr>
    <w:rPr>
      <w:rFonts w:cstheme="minorHAnsi"/>
      <w:i/>
      <w:iCs/>
      <w:color w:val="4D4D4D"/>
      <w:sz w:val="40"/>
      <w:szCs w:val="40"/>
    </w:rPr>
  </w:style>
  <w:style w:type="character" w:customStyle="1" w:styleId="QuoteChar">
    <w:name w:val="Quote Char"/>
    <w:basedOn w:val="DefaultParagraphFont"/>
    <w:link w:val="Quote"/>
    <w:uiPriority w:val="9"/>
    <w:rsid w:val="007A4185"/>
    <w:rPr>
      <w:rFonts w:ascii="Calibri" w:hAnsi="Calibri" w:cstheme="minorHAnsi"/>
      <w:i/>
      <w:iCs/>
      <w:color w:val="4D4D4D"/>
      <w:sz w:val="40"/>
      <w:szCs w:val="40"/>
    </w:rPr>
  </w:style>
  <w:style w:type="paragraph" w:customStyle="1" w:styleId="References">
    <w:name w:val="References"/>
    <w:basedOn w:val="Heading1"/>
    <w:rsid w:val="007A4185"/>
    <w:pPr>
      <w:numPr>
        <w:numId w:val="0"/>
      </w:numPr>
      <w:spacing w:after="600"/>
      <w:ind w:left="2410"/>
    </w:pPr>
  </w:style>
  <w:style w:type="paragraph" w:customStyle="1" w:styleId="Subsubtitle">
    <w:name w:val="Sub subtitle"/>
    <w:basedOn w:val="Normal"/>
    <w:qFormat/>
    <w:rsid w:val="007A4185"/>
  </w:style>
  <w:style w:type="paragraph" w:styleId="Subtitle">
    <w:name w:val="Subtitle"/>
    <w:basedOn w:val="Normal"/>
    <w:next w:val="Normal"/>
    <w:link w:val="SubtitleChar"/>
    <w:uiPriority w:val="9"/>
    <w:qFormat/>
    <w:rsid w:val="007A4185"/>
    <w:pPr>
      <w:numPr>
        <w:ilvl w:val="1"/>
      </w:numPr>
      <w:spacing w:after="240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9"/>
    <w:rsid w:val="007A4185"/>
    <w:rPr>
      <w:rFonts w:ascii="Calibri" w:eastAsiaTheme="majorEastAsia" w:hAnsi="Calibri" w:cstheme="majorBidi"/>
      <w:b/>
      <w:iCs/>
      <w:color w:val="000000" w:themeColor="text1"/>
      <w:szCs w:val="24"/>
    </w:rPr>
  </w:style>
  <w:style w:type="table" w:styleId="TableGrid">
    <w:name w:val="Table Grid"/>
    <w:basedOn w:val="TableNormal"/>
    <w:uiPriority w:val="59"/>
    <w:rsid w:val="007A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A4185"/>
    <w:pPr>
      <w:tabs>
        <w:tab w:val="left" w:pos="3402"/>
        <w:tab w:val="right" w:leader="dot" w:pos="9639"/>
      </w:tabs>
      <w:spacing w:line="400" w:lineRule="exact"/>
      <w:ind w:left="3402" w:hanging="992"/>
    </w:pPr>
    <w:rPr>
      <w:noProof/>
    </w:rPr>
  </w:style>
  <w:style w:type="paragraph" w:customStyle="1" w:styleId="Tabletitle">
    <w:name w:val="Table title"/>
    <w:qFormat/>
    <w:rsid w:val="007A4185"/>
    <w:pPr>
      <w:keepNext/>
      <w:numPr>
        <w:numId w:val="15"/>
      </w:numPr>
      <w:pBdr>
        <w:top w:val="single" w:sz="4" w:space="1" w:color="7F7F7F" w:themeColor="text1" w:themeTint="80"/>
      </w:pBdr>
      <w:spacing w:before="480" w:after="120" w:line="220" w:lineRule="atLeast"/>
    </w:pPr>
    <w:rPr>
      <w:rFonts w:ascii="Calibri" w:hAnsi="Calibri" w:cstheme="minorHAnsi"/>
      <w:b/>
      <w:iCs/>
      <w:color w:val="000000" w:themeColor="text1"/>
      <w:sz w:val="20"/>
      <w:szCs w:val="20"/>
    </w:rPr>
  </w:style>
  <w:style w:type="paragraph" w:styleId="Title">
    <w:name w:val="Title"/>
    <w:basedOn w:val="Normal"/>
    <w:next w:val="Normal"/>
    <w:link w:val="TitleChar"/>
    <w:uiPriority w:val="5"/>
    <w:rsid w:val="007A4185"/>
    <w:pPr>
      <w:pBdr>
        <w:bottom w:val="single" w:sz="4" w:space="12" w:color="auto"/>
      </w:pBdr>
      <w:spacing w:before="1080" w:line="600" w:lineRule="exact"/>
      <w:ind w:left="2410"/>
    </w:pPr>
    <w:rPr>
      <w:rFonts w:cstheme="minorHAnsi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5"/>
    <w:rsid w:val="007A4185"/>
    <w:rPr>
      <w:rFonts w:ascii="Calibri" w:hAnsi="Calibri" w:cstheme="minorHAnsi"/>
      <w:color w:val="000000" w:themeColor="text1"/>
      <w:sz w:val="60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7A4185"/>
    <w:pPr>
      <w:tabs>
        <w:tab w:val="right" w:leader="dot" w:pos="9629"/>
      </w:tabs>
      <w:spacing w:after="120"/>
      <w:ind w:left="2410"/>
    </w:pPr>
    <w:rPr>
      <w:rFonts w:cs="Arial"/>
      <w:noProof/>
    </w:rPr>
  </w:style>
  <w:style w:type="paragraph" w:styleId="TOC2">
    <w:name w:val="toc 2"/>
    <w:basedOn w:val="TOC1"/>
    <w:next w:val="Normal"/>
    <w:autoRedefine/>
    <w:uiPriority w:val="39"/>
    <w:unhideWhenUsed/>
    <w:rsid w:val="007A4185"/>
    <w:pPr>
      <w:tabs>
        <w:tab w:val="left" w:pos="3261"/>
      </w:tabs>
      <w:spacing w:after="60"/>
      <w:ind w:left="3261" w:hanging="426"/>
    </w:pPr>
    <w:rPr>
      <w:b/>
    </w:rPr>
  </w:style>
  <w:style w:type="paragraph" w:styleId="TOC3">
    <w:name w:val="toc 3"/>
    <w:basedOn w:val="TableofFigures"/>
    <w:next w:val="Normal"/>
    <w:autoRedefine/>
    <w:uiPriority w:val="19"/>
    <w:unhideWhenUsed/>
    <w:rsid w:val="007A4185"/>
    <w:pPr>
      <w:tabs>
        <w:tab w:val="clear" w:pos="3402"/>
        <w:tab w:val="left" w:pos="3544"/>
      </w:tabs>
      <w:ind w:left="3544" w:hanging="1134"/>
    </w:pPr>
  </w:style>
  <w:style w:type="paragraph" w:styleId="TOCHeading">
    <w:name w:val="TOC Heading"/>
    <w:basedOn w:val="Heading1"/>
    <w:next w:val="Normal"/>
    <w:uiPriority w:val="9"/>
    <w:unhideWhenUsed/>
    <w:qFormat/>
    <w:rsid w:val="007A4185"/>
    <w:pPr>
      <w:keepNext/>
      <w:keepLines/>
      <w:pageBreakBefore w:val="0"/>
      <w:autoSpaceDE/>
      <w:autoSpaceDN/>
      <w:adjustRightInd/>
      <w:spacing w:before="480" w:line="276" w:lineRule="auto"/>
      <w:ind w:left="0" w:firstLine="0"/>
      <w:outlineLvl w:val="9"/>
    </w:pPr>
    <w:rPr>
      <w:rFonts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Version">
    <w:name w:val="Version"/>
    <w:basedOn w:val="Normal"/>
    <w:rsid w:val="007A4185"/>
    <w:pPr>
      <w:spacing w:before="840" w:line="360" w:lineRule="exact"/>
      <w:ind w:left="2410"/>
    </w:pPr>
    <w:rPr>
      <w:rFonts w:asciiTheme="minorHAnsi" w:hAnsiTheme="minorHAnsi" w:cstheme="minorHAnsi"/>
      <w:color w:val="666666"/>
      <w:sz w:val="28"/>
      <w:szCs w:val="30"/>
    </w:rPr>
  </w:style>
  <w:style w:type="table" w:customStyle="1" w:styleId="Vividtable">
    <w:name w:val="Vivid table"/>
    <w:basedOn w:val="TableNormal"/>
    <w:uiPriority w:val="99"/>
    <w:rsid w:val="007A4185"/>
    <w:pPr>
      <w:spacing w:after="0" w:line="240" w:lineRule="auto"/>
    </w:pPr>
    <w:rPr>
      <w:sz w:val="18"/>
    </w:rPr>
    <w:tblPr>
      <w:tblStyleRowBandSize w:val="1"/>
    </w:tblPr>
    <w:tcPr>
      <w:vAlign w:val="center"/>
    </w:tcPr>
    <w:tblStylePr w:type="firstRow">
      <w:rPr>
        <w:rFonts w:asciiTheme="minorHAnsi" w:hAnsiTheme="minorHAnsi"/>
        <w:b/>
        <w:sz w:val="18"/>
      </w:rPr>
    </w:tblStylePr>
    <w:tblStylePr w:type="band1Horz">
      <w:tblPr/>
      <w:tcPr>
        <w:shd w:val="clear" w:color="auto" w:fill="DDDDDD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0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067"/>
    <w:rPr>
      <w:rFonts w:ascii="Calibri" w:hAnsi="Calibri"/>
      <w:b/>
      <w:bCs/>
      <w:color w:val="000000" w:themeColor="text1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74F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vivideconomics.sharepoint.com/:b:/s/projects/171211HSB/ETUftK7XVN5Jn15EKeVggDUBcy-1-5EUkzQkF5lyFCCqig?e=IRjlTQ" TargetMode="External"/><Relationship Id="rId2" Type="http://schemas.openxmlformats.org/officeDocument/2006/relationships/hyperlink" Target="https://vivideconomics.sharepoint.com/:b:/s/projects/171211HSB/EU3Tgk5ncz9JkecKq4dp_rIBLtubjJVfjMHp4Fjg3JKLpg?e=lWPKAd" TargetMode="External"/><Relationship Id="rId1" Type="http://schemas.openxmlformats.org/officeDocument/2006/relationships/hyperlink" Target="https://vivideconomics.sharepoint.com/:b:/s/projects/171211HSB/EaOH6dSzCQJDuRL6hfY9AOkBW0_iUUAgARLOZ9evkntwyQ?e=zlMlHe" TargetMode="External"/><Relationship Id="rId5" Type="http://schemas.openxmlformats.org/officeDocument/2006/relationships/hyperlink" Target="https://vivideconomics.sharepoint.com/:b:/s/projects/171211HSB/EYMkT34UDXpIompGNaDcVZMBta9muFu9duEcm4bnhMP_ag?e=d3gcYl" TargetMode="External"/><Relationship Id="rId4" Type="http://schemas.openxmlformats.org/officeDocument/2006/relationships/hyperlink" Target="https://vivideconomics.sharepoint.com/:b:/s/projects/171211HSB/EU6-HKMvMjJIpAnGWv6EbPcBwt58Z_bT84qn7Kc52O8DqQ?e=1YQLxU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amal\Documents\Custom%20Office%20Templates\170930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458A34C1B804487783B2D6E744E74" ma:contentTypeVersion="8" ma:contentTypeDescription="Create a new document." ma:contentTypeScope="" ma:versionID="db55914762f75c69a3f428beb16e5e78">
  <xsd:schema xmlns:xsd="http://www.w3.org/2001/XMLSchema" xmlns:xs="http://www.w3.org/2001/XMLSchema" xmlns:p="http://schemas.microsoft.com/office/2006/metadata/properties" xmlns:ns2="b5fc07e1-684f-42dd-a9b9-4a385070eb2f" xmlns:ns3="40da89ef-49c0-40fe-8775-bed27f6d4e3e" targetNamespace="http://schemas.microsoft.com/office/2006/metadata/properties" ma:root="true" ma:fieldsID="3788be5c6e889f205c249745f37b3686" ns2:_="" ns3:_="">
    <xsd:import namespace="b5fc07e1-684f-42dd-a9b9-4a385070eb2f"/>
    <xsd:import namespace="40da89ef-49c0-40fe-8775-bed27f6d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c07e1-684f-42dd-a9b9-4a385070eb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a89ef-49c0-40fe-8775-bed27f6d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AFBD-3390-4A90-9E5E-0DDD3B435FF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5fc07e1-684f-42dd-a9b9-4a385070eb2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FBC6A27-504B-4815-9ABD-54C59B3DE4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C845D0-88C0-4029-930C-AEED861491C6}"/>
</file>

<file path=customXml/itemProps4.xml><?xml version="1.0" encoding="utf-8"?>
<ds:datastoreItem xmlns:ds="http://schemas.openxmlformats.org/officeDocument/2006/customXml" ds:itemID="{309AE7AC-28BF-4467-B193-3A03FF443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170930 note</Template>
  <TotalTime>0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Shyamal</dc:creator>
  <cp:lastModifiedBy>Shyamal Patel</cp:lastModifiedBy>
  <cp:revision>79</cp:revision>
  <dcterms:created xsi:type="dcterms:W3CDTF">2018-03-07T11:27:00Z</dcterms:created>
  <dcterms:modified xsi:type="dcterms:W3CDTF">2018-03-07T13:25:00Z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0x01010071A458A34C1B804487783B2D6E744E74</vt:lpwstr>
  </property>
</Properties>
</file>