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1E861" w14:textId="230D460E" w:rsidR="002C2240" w:rsidRDefault="00CB3545" w:rsidP="00CB3545">
      <w:pPr>
        <w:pStyle w:val="Heading1"/>
        <w:numPr>
          <w:ilvl w:val="0"/>
          <w:numId w:val="0"/>
        </w:numPr>
        <w:ind w:left="142"/>
        <w:rPr>
          <w:color w:val="FF0000"/>
        </w:rPr>
      </w:pPr>
      <w:r>
        <w:t xml:space="preserve">Technical note </w:t>
      </w:r>
      <w:r w:rsidR="000E365C">
        <w:t xml:space="preserve">on </w:t>
      </w:r>
      <w:r w:rsidR="002C321A">
        <w:t>the profit impact</w:t>
      </w:r>
      <w:r w:rsidR="00587B68">
        <w:t xml:space="preserve"> valuation </w:t>
      </w:r>
      <w:r w:rsidR="00063E15">
        <w:t>tool</w:t>
      </w:r>
      <w:r w:rsidR="00594A61">
        <w:t xml:space="preserve"> </w:t>
      </w:r>
      <w:r w:rsidR="000B0F49" w:rsidRPr="00A90CA0">
        <w:rPr>
          <w:color w:val="FF0000"/>
        </w:rPr>
        <w:t>[internal use only]</w:t>
      </w:r>
    </w:p>
    <w:p w14:paraId="5872C364" w14:textId="039207B6" w:rsidR="007E1EF4" w:rsidRDefault="00F47EB4" w:rsidP="007E1EF4">
      <w:pPr>
        <w:rPr>
          <w:b/>
        </w:rPr>
      </w:pPr>
      <w:r w:rsidRPr="00F47EB4">
        <w:rPr>
          <w:b/>
        </w:rPr>
        <w:t xml:space="preserve">This note sets out the </w:t>
      </w:r>
      <w:r w:rsidR="00554F62">
        <w:rPr>
          <w:b/>
        </w:rPr>
        <w:t xml:space="preserve">basic structure of the profit impact valuation </w:t>
      </w:r>
      <w:r w:rsidR="00063E15">
        <w:rPr>
          <w:b/>
        </w:rPr>
        <w:t>tool</w:t>
      </w:r>
      <w:r w:rsidR="00554F62">
        <w:rPr>
          <w:b/>
        </w:rPr>
        <w:t xml:space="preserve">, with particular focus on the </w:t>
      </w:r>
      <w:r w:rsidRPr="00F47EB4">
        <w:rPr>
          <w:b/>
        </w:rPr>
        <w:t>cost pass through and sales impact methodolog</w:t>
      </w:r>
      <w:r w:rsidR="00554F62">
        <w:rPr>
          <w:b/>
        </w:rPr>
        <w:t>ies</w:t>
      </w:r>
      <w:r w:rsidRPr="00F47EB4">
        <w:rPr>
          <w:b/>
        </w:rPr>
        <w:t>.</w:t>
      </w:r>
      <w:r w:rsidR="00BD5ABC">
        <w:rPr>
          <w:b/>
        </w:rPr>
        <w:t xml:space="preserve"> It also provides a mapping between </w:t>
      </w:r>
      <w:r w:rsidR="008E4645">
        <w:rPr>
          <w:b/>
        </w:rPr>
        <w:t>financial data and model data lines.</w:t>
      </w:r>
    </w:p>
    <w:p w14:paraId="143E76F5" w14:textId="3B66646E" w:rsidR="00A678D0" w:rsidRDefault="00A678D0" w:rsidP="007E1EF4">
      <w:pPr>
        <w:rPr>
          <w:b/>
        </w:rPr>
      </w:pPr>
    </w:p>
    <w:p w14:paraId="6227981D" w14:textId="2CC030FB" w:rsidR="00A678D0" w:rsidRDefault="00A678D0" w:rsidP="007E1EF4">
      <w:pPr>
        <w:rPr>
          <w:b/>
        </w:rPr>
      </w:pPr>
      <w:r>
        <w:rPr>
          <w:b/>
        </w:rPr>
        <w:t>This note is structured as follows:</w:t>
      </w:r>
    </w:p>
    <w:p w14:paraId="6423C89A" w14:textId="65BA9A21" w:rsidR="00A678D0" w:rsidRPr="005B073A" w:rsidRDefault="00A678D0" w:rsidP="00A678D0">
      <w:pPr>
        <w:pStyle w:val="ListParagraph"/>
        <w:numPr>
          <w:ilvl w:val="0"/>
          <w:numId w:val="21"/>
        </w:numPr>
        <w:rPr>
          <w:b/>
        </w:rPr>
      </w:pPr>
      <w:r>
        <w:t xml:space="preserve">Section </w:t>
      </w:r>
      <w:r w:rsidR="000C0050">
        <w:fldChar w:fldCharType="begin"/>
      </w:r>
      <w:r w:rsidR="000C0050">
        <w:instrText xml:space="preserve"> REF _Ref508287355 \r \h </w:instrText>
      </w:r>
      <w:r w:rsidR="000C0050">
        <w:fldChar w:fldCharType="separate"/>
      </w:r>
      <w:r w:rsidR="000C0050">
        <w:t>1.1.1</w:t>
      </w:r>
      <w:r w:rsidR="000C0050">
        <w:fldChar w:fldCharType="end"/>
      </w:r>
      <w:r>
        <w:t xml:space="preserve"> provides a brief </w:t>
      </w:r>
      <w:r w:rsidR="005B073A">
        <w:t>introduction to the tool</w:t>
      </w:r>
    </w:p>
    <w:p w14:paraId="0E3D106D" w14:textId="6389FC1D" w:rsidR="005B073A" w:rsidRPr="00F8297F" w:rsidRDefault="005B073A" w:rsidP="00A678D0">
      <w:pPr>
        <w:pStyle w:val="ListParagraph"/>
        <w:numPr>
          <w:ilvl w:val="0"/>
          <w:numId w:val="21"/>
        </w:numPr>
        <w:rPr>
          <w:b/>
        </w:rPr>
      </w:pPr>
      <w:r>
        <w:t xml:space="preserve">Section </w:t>
      </w:r>
      <w:r w:rsidR="000C0050">
        <w:fldChar w:fldCharType="begin"/>
      </w:r>
      <w:r w:rsidR="000C0050">
        <w:instrText xml:space="preserve"> REF _Ref508113291 \r \h </w:instrText>
      </w:r>
      <w:r w:rsidR="000C0050">
        <w:fldChar w:fldCharType="separate"/>
      </w:r>
      <w:r w:rsidR="000C0050">
        <w:t>1.1.2</w:t>
      </w:r>
      <w:r w:rsidR="000C0050">
        <w:fldChar w:fldCharType="end"/>
      </w:r>
      <w:r>
        <w:t xml:space="preserve"> sets out the model’s basic elements, including key profit flow equations and </w:t>
      </w:r>
      <w:r w:rsidR="00F8297F">
        <w:t>how company performance is assessed</w:t>
      </w:r>
    </w:p>
    <w:p w14:paraId="7D5B68BD" w14:textId="58D1CE0E" w:rsidR="00F8297F" w:rsidRDefault="00F8297F" w:rsidP="00A678D0">
      <w:pPr>
        <w:pStyle w:val="ListParagraph"/>
        <w:numPr>
          <w:ilvl w:val="0"/>
          <w:numId w:val="21"/>
        </w:numPr>
      </w:pPr>
      <w:r w:rsidRPr="00EF61FC">
        <w:t xml:space="preserve">Section </w:t>
      </w:r>
      <w:r w:rsidR="000C0050">
        <w:fldChar w:fldCharType="begin"/>
      </w:r>
      <w:r w:rsidR="000C0050">
        <w:instrText xml:space="preserve"> REF _Ref508284129 \r \h </w:instrText>
      </w:r>
      <w:r w:rsidR="000C0050">
        <w:fldChar w:fldCharType="separate"/>
      </w:r>
      <w:r w:rsidR="000C0050">
        <w:t>1.1.3</w:t>
      </w:r>
      <w:r w:rsidR="000C0050">
        <w:fldChar w:fldCharType="end"/>
      </w:r>
      <w:r w:rsidRPr="00EF61FC">
        <w:t xml:space="preserve"> </w:t>
      </w:r>
      <w:r w:rsidR="00EF61FC" w:rsidRPr="00EF61FC">
        <w:t>is a detailed description of the model, showing how profit is modelled in a given year</w:t>
      </w:r>
    </w:p>
    <w:p w14:paraId="58058251" w14:textId="66537B5E" w:rsidR="00F47EB4" w:rsidRDefault="00EF61FC" w:rsidP="007E1EF4">
      <w:pPr>
        <w:pStyle w:val="ListParagraph"/>
        <w:numPr>
          <w:ilvl w:val="0"/>
          <w:numId w:val="21"/>
        </w:numPr>
      </w:pPr>
      <w:r>
        <w:t xml:space="preserve">Section </w:t>
      </w:r>
      <w:r w:rsidR="000C0050">
        <w:fldChar w:fldCharType="begin"/>
      </w:r>
      <w:r w:rsidR="000C0050">
        <w:instrText xml:space="preserve"> REF _Ref508287376 \r \h </w:instrText>
      </w:r>
      <w:r w:rsidR="000C0050">
        <w:fldChar w:fldCharType="separate"/>
      </w:r>
      <w:r w:rsidR="000C0050">
        <w:t>1.1.4</w:t>
      </w:r>
      <w:r w:rsidR="000C0050">
        <w:fldChar w:fldCharType="end"/>
      </w:r>
      <w:r>
        <w:t xml:space="preserve"> </w:t>
      </w:r>
      <w:r w:rsidR="000C0050">
        <w:t>provides insights on the cost pass through rate, a key input to the firm-level margin impact</w:t>
      </w:r>
    </w:p>
    <w:p w14:paraId="06D7B4AB" w14:textId="0A518A56" w:rsidR="000C0050" w:rsidRDefault="000C0050" w:rsidP="007E1EF4">
      <w:pPr>
        <w:pStyle w:val="ListParagraph"/>
        <w:numPr>
          <w:ilvl w:val="0"/>
          <w:numId w:val="21"/>
        </w:numPr>
      </w:pPr>
      <w:r>
        <w:t xml:space="preserve">Section </w:t>
      </w:r>
      <w:r w:rsidR="00122EBE">
        <w:fldChar w:fldCharType="begin"/>
      </w:r>
      <w:r w:rsidR="00122EBE">
        <w:instrText xml:space="preserve"> REF _Ref508287429 \r \h </w:instrText>
      </w:r>
      <w:r w:rsidR="00122EBE">
        <w:fldChar w:fldCharType="separate"/>
      </w:r>
      <w:r w:rsidR="00122EBE">
        <w:t>1.1.5</w:t>
      </w:r>
      <w:r w:rsidR="00122EBE">
        <w:fldChar w:fldCharType="end"/>
      </w:r>
      <w:r>
        <w:t xml:space="preserve"> does the same for the market-level sales impact</w:t>
      </w:r>
    </w:p>
    <w:p w14:paraId="127F2981" w14:textId="77777777" w:rsidR="000C0050" w:rsidRDefault="000C0050" w:rsidP="000C0050"/>
    <w:p w14:paraId="60080CC4" w14:textId="77777777" w:rsidR="003867EB" w:rsidRDefault="003867EB" w:rsidP="003867EB">
      <w:pPr>
        <w:pStyle w:val="Heading3"/>
      </w:pPr>
      <w:bookmarkStart w:id="0" w:name="_Ref508287355"/>
      <w:r>
        <w:t>Abstract</w:t>
      </w:r>
      <w:bookmarkEnd w:id="0"/>
    </w:p>
    <w:p w14:paraId="69CE3E36" w14:textId="43F5A246" w:rsidR="005168BD" w:rsidRDefault="00636B39" w:rsidP="007E1EF4">
      <w:r>
        <w:rPr>
          <w:b/>
        </w:rPr>
        <w:t xml:space="preserve">The </w:t>
      </w:r>
      <w:r w:rsidR="00607CB8">
        <w:rPr>
          <w:b/>
        </w:rPr>
        <w:t xml:space="preserve">tool </w:t>
      </w:r>
      <w:r w:rsidR="00684F51">
        <w:rPr>
          <w:b/>
        </w:rPr>
        <w:t>estimate</w:t>
      </w:r>
      <w:r w:rsidR="003455C8">
        <w:rPr>
          <w:b/>
        </w:rPr>
        <w:t>s</w:t>
      </w:r>
      <w:r w:rsidR="00684F51">
        <w:rPr>
          <w:b/>
        </w:rPr>
        <w:t xml:space="preserve"> the cash flows of </w:t>
      </w:r>
      <w:r w:rsidR="00100777">
        <w:rPr>
          <w:b/>
        </w:rPr>
        <w:t>MSCI World companies</w:t>
      </w:r>
      <w:r w:rsidR="00607CB8">
        <w:rPr>
          <w:b/>
        </w:rPr>
        <w:t xml:space="preserve"> using a model of sectoral competition.</w:t>
      </w:r>
      <w:r w:rsidR="00100777" w:rsidRPr="00607CB8">
        <w:t xml:space="preserve"> </w:t>
      </w:r>
      <w:r w:rsidR="007C45ED">
        <w:t xml:space="preserve">The </w:t>
      </w:r>
      <w:r w:rsidR="00607CB8">
        <w:t xml:space="preserve">analysis is performed </w:t>
      </w:r>
      <w:r w:rsidR="007C45ED">
        <w:t>at a very granular level</w:t>
      </w:r>
      <w:r w:rsidR="00AB15FA">
        <w:t xml:space="preserve">, </w:t>
      </w:r>
      <w:commentRangeStart w:id="1"/>
      <w:r w:rsidR="00AB15FA">
        <w:t xml:space="preserve">covering over </w:t>
      </w:r>
      <w:r w:rsidR="006D599B">
        <w:t xml:space="preserve">100 different </w:t>
      </w:r>
      <w:r w:rsidR="00AB15FA">
        <w:t>industrial categories</w:t>
      </w:r>
      <w:commentRangeEnd w:id="1"/>
      <w:r w:rsidR="00AB15FA">
        <w:rPr>
          <w:rStyle w:val="CommentReference"/>
        </w:rPr>
        <w:commentReference w:id="1"/>
      </w:r>
      <w:r w:rsidR="00AB15FA">
        <w:t xml:space="preserve">, </w:t>
      </w:r>
      <w:r w:rsidR="00FD330C">
        <w:t xml:space="preserve">6 </w:t>
      </w:r>
      <w:r w:rsidR="00AB15FA">
        <w:t>super-region</w:t>
      </w:r>
      <w:r w:rsidR="00E07C39">
        <w:t>s</w:t>
      </w:r>
      <w:r w:rsidR="007C45ED">
        <w:t>,</w:t>
      </w:r>
      <w:r w:rsidR="00AB15FA">
        <w:t xml:space="preserve"> and </w:t>
      </w:r>
      <w:r w:rsidR="007C45ED">
        <w:t xml:space="preserve">a number of </w:t>
      </w:r>
      <w:r w:rsidR="007F6990" w:rsidRPr="00607CB8">
        <w:t>different climate policy scenarios</w:t>
      </w:r>
      <w:r w:rsidR="004A66B0" w:rsidRPr="00607CB8">
        <w:t>.</w:t>
      </w:r>
      <w:r w:rsidR="008E16CC">
        <w:t xml:space="preserve"> </w:t>
      </w:r>
      <w:r w:rsidR="009272E1">
        <w:t xml:space="preserve">Each industrial category-super region represents a market in </w:t>
      </w:r>
      <w:r w:rsidR="000250BD">
        <w:t xml:space="preserve">which firms </w:t>
      </w:r>
      <w:r w:rsidR="00F31CA0">
        <w:t>compete</w:t>
      </w:r>
      <w:r w:rsidR="00A61A17">
        <w:t xml:space="preserve"> and interact</w:t>
      </w:r>
      <w:r w:rsidR="001618FE">
        <w:t>, with t</w:t>
      </w:r>
      <w:r w:rsidR="00C813BD">
        <w:t>he nature of these market</w:t>
      </w:r>
      <w:r w:rsidR="00F01168">
        <w:t xml:space="preserve">s </w:t>
      </w:r>
      <w:r w:rsidR="001618FE">
        <w:t xml:space="preserve">having </w:t>
      </w:r>
      <w:r w:rsidR="00F01168">
        <w:t>a large impact on</w:t>
      </w:r>
      <w:r w:rsidR="003F0AA5">
        <w:t xml:space="preserve"> a firm’s </w:t>
      </w:r>
      <w:r w:rsidR="001618FE">
        <w:t>performance in a 2DS scenario.</w:t>
      </w:r>
      <w:r w:rsidR="009F79EF">
        <w:t xml:space="preserve"> </w:t>
      </w:r>
      <w:r w:rsidR="001618FE">
        <w:t>F</w:t>
      </w:r>
      <w:r w:rsidR="009F79EF">
        <w:t>or instance, a steel company with</w:t>
      </w:r>
      <w:r w:rsidR="00B06AEF">
        <w:t xml:space="preserve"> higher emissions per unit revenue may </w:t>
      </w:r>
      <w:r w:rsidR="00EE48FA">
        <w:t>actually outperform a</w:t>
      </w:r>
      <w:r w:rsidR="00BF32E7">
        <w:t xml:space="preserve"> financial services company</w:t>
      </w:r>
      <w:r w:rsidR="001046B6">
        <w:t xml:space="preserve"> with low </w:t>
      </w:r>
      <w:r w:rsidR="00316460">
        <w:t>CO</w:t>
      </w:r>
      <w:r w:rsidR="00316460">
        <w:rPr>
          <w:vertAlign w:val="subscript"/>
        </w:rPr>
        <w:t>2</w:t>
      </w:r>
      <w:r w:rsidR="00316460">
        <w:t xml:space="preserve"> intensity</w:t>
      </w:r>
      <w:r w:rsidR="00BF32E7">
        <w:t xml:space="preserve">, if </w:t>
      </w:r>
      <w:r w:rsidR="001046B6">
        <w:t xml:space="preserve">the steel company </w:t>
      </w:r>
      <w:r w:rsidR="00BF32E7">
        <w:t xml:space="preserve">has </w:t>
      </w:r>
      <w:r w:rsidR="00316460" w:rsidRPr="00316460">
        <w:rPr>
          <w:i/>
        </w:rPr>
        <w:t>a low</w:t>
      </w:r>
      <w:r w:rsidR="00316460">
        <w:t xml:space="preserve"> </w:t>
      </w:r>
      <w:r w:rsidR="001046B6" w:rsidRPr="001046B6">
        <w:rPr>
          <w:i/>
        </w:rPr>
        <w:t>CO</w:t>
      </w:r>
      <w:r w:rsidR="001046B6" w:rsidRPr="001046B6">
        <w:rPr>
          <w:i/>
          <w:vertAlign w:val="subscript"/>
        </w:rPr>
        <w:t>2</w:t>
      </w:r>
      <w:r w:rsidR="001046B6" w:rsidRPr="001046B6">
        <w:rPr>
          <w:i/>
        </w:rPr>
        <w:t xml:space="preserve"> intensity </w:t>
      </w:r>
      <w:r w:rsidR="00316460">
        <w:rPr>
          <w:i/>
        </w:rPr>
        <w:t xml:space="preserve">relative to </w:t>
      </w:r>
      <w:r w:rsidR="0013708F">
        <w:rPr>
          <w:i/>
        </w:rPr>
        <w:t xml:space="preserve">other </w:t>
      </w:r>
      <w:r w:rsidR="001046B6" w:rsidRPr="001046B6">
        <w:rPr>
          <w:i/>
        </w:rPr>
        <w:t>steel companies</w:t>
      </w:r>
      <w:r w:rsidR="001046B6">
        <w:t>.</w:t>
      </w:r>
      <w:r w:rsidR="00C813BD">
        <w:t xml:space="preserve"> </w:t>
      </w:r>
      <w:r w:rsidR="006A7E6F">
        <w:t>Company activity has been disaggregated into different</w:t>
      </w:r>
      <w:r w:rsidR="00E07C39">
        <w:t xml:space="preserve"> </w:t>
      </w:r>
      <w:r w:rsidR="004552C0">
        <w:t xml:space="preserve">industrial activities and </w:t>
      </w:r>
      <w:r w:rsidR="00E07C39">
        <w:t>regions</w:t>
      </w:r>
      <w:r w:rsidR="002B6A93">
        <w:t xml:space="preserve"> wherever </w:t>
      </w:r>
      <w:bookmarkStart w:id="2" w:name="_GoBack"/>
      <w:bookmarkEnd w:id="2"/>
      <w:r w:rsidR="002B6A93">
        <w:t>possible</w:t>
      </w:r>
      <w:r w:rsidR="00561E3A">
        <w:t xml:space="preserve">, to </w:t>
      </w:r>
      <w:r w:rsidR="008A49BE">
        <w:t>accurately reflect activity and</w:t>
      </w:r>
      <w:r w:rsidR="00561E3A">
        <w:t xml:space="preserve"> </w:t>
      </w:r>
      <w:r w:rsidR="008A49BE">
        <w:t xml:space="preserve">location-based </w:t>
      </w:r>
      <w:r w:rsidR="00561E3A">
        <w:t>exposure</w:t>
      </w:r>
      <w:r w:rsidR="008A49BE">
        <w:t>s</w:t>
      </w:r>
      <w:r w:rsidR="002B6A93">
        <w:t>.</w:t>
      </w:r>
    </w:p>
    <w:p w14:paraId="38ABE619" w14:textId="21833DF8" w:rsidR="006C2EA8" w:rsidRDefault="006C2EA8" w:rsidP="007E1EF4"/>
    <w:p w14:paraId="42ED24EA" w14:textId="3B53D1AF" w:rsidR="006C2EA8" w:rsidRDefault="00E272EE" w:rsidP="00E272EE">
      <w:pPr>
        <w:pStyle w:val="Heading3"/>
      </w:pPr>
      <w:bookmarkStart w:id="3" w:name="_Ref508113291"/>
      <w:r>
        <w:t>Model basics</w:t>
      </w:r>
      <w:bookmarkEnd w:id="3"/>
    </w:p>
    <w:p w14:paraId="69E65528" w14:textId="586DC543" w:rsidR="004E541A" w:rsidRDefault="00A60D1C" w:rsidP="007E1EF4">
      <w:pPr>
        <w:rPr>
          <w:b/>
        </w:rPr>
      </w:pPr>
      <w:commentRangeStart w:id="4"/>
      <w:r w:rsidRPr="00F936D1">
        <w:rPr>
          <w:b/>
        </w:rPr>
        <w:t xml:space="preserve">The model </w:t>
      </w:r>
      <w:r w:rsidR="00F936D1" w:rsidRPr="00F936D1">
        <w:rPr>
          <w:b/>
        </w:rPr>
        <w:t xml:space="preserve">has </w:t>
      </w:r>
      <w:r w:rsidRPr="00F936D1">
        <w:rPr>
          <w:b/>
        </w:rPr>
        <w:t xml:space="preserve">a number of </w:t>
      </w:r>
      <w:r w:rsidR="008E5AA5">
        <w:rPr>
          <w:b/>
        </w:rPr>
        <w:t>elements</w:t>
      </w:r>
      <w:r w:rsidR="0042658A">
        <w:rPr>
          <w:b/>
        </w:rPr>
        <w:t xml:space="preserve">, with some of the fundamentals </w:t>
      </w:r>
      <w:r w:rsidR="00F936D1" w:rsidRPr="00F936D1">
        <w:rPr>
          <w:b/>
        </w:rPr>
        <w:t>described briefly below:</w:t>
      </w:r>
      <w:commentRangeEnd w:id="4"/>
      <w:r w:rsidR="00297908">
        <w:rPr>
          <w:rStyle w:val="CommentReference"/>
        </w:rPr>
        <w:commentReference w:id="4"/>
      </w:r>
    </w:p>
    <w:p w14:paraId="33C81322" w14:textId="4765E26A" w:rsidR="00F936D1" w:rsidRPr="00EB72F4" w:rsidRDefault="00297908" w:rsidP="00F936D1">
      <w:pPr>
        <w:pStyle w:val="ListParagraph"/>
        <w:numPr>
          <w:ilvl w:val="0"/>
          <w:numId w:val="19"/>
        </w:numPr>
        <w:rPr>
          <w:b/>
        </w:rPr>
      </w:pPr>
      <w:r w:rsidRPr="001E46AF">
        <w:rPr>
          <w:b/>
        </w:rPr>
        <w:t>CO</w:t>
      </w:r>
      <w:r w:rsidRPr="001E46AF">
        <w:rPr>
          <w:b/>
          <w:vertAlign w:val="subscript"/>
        </w:rPr>
        <w:t>2</w:t>
      </w:r>
      <w:r w:rsidRPr="001E46AF">
        <w:rPr>
          <w:b/>
        </w:rPr>
        <w:t xml:space="preserve"> emissions estimation</w:t>
      </w:r>
      <w:r>
        <w:t xml:space="preserve">: over half of the MSCI World companies </w:t>
      </w:r>
      <w:r w:rsidR="007E21C2">
        <w:t xml:space="preserve">do </w:t>
      </w:r>
      <w:r>
        <w:t>not report</w:t>
      </w:r>
      <w:r w:rsidR="007E21C2">
        <w:t xml:space="preserve"> CO</w:t>
      </w:r>
      <w:r w:rsidR="007E21C2">
        <w:rPr>
          <w:vertAlign w:val="subscript"/>
        </w:rPr>
        <w:t>2</w:t>
      </w:r>
      <w:r w:rsidR="007E21C2">
        <w:t xml:space="preserve"> emissions; for these</w:t>
      </w:r>
      <w:r w:rsidR="007407D9">
        <w:t xml:space="preserve"> companies</w:t>
      </w:r>
      <w:r w:rsidR="007E21C2">
        <w:t xml:space="preserve">, </w:t>
      </w:r>
      <w:r w:rsidR="001567D2">
        <w:t xml:space="preserve">emissions have been estimated based on the median </w:t>
      </w:r>
      <w:commentRangeStart w:id="5"/>
      <w:r w:rsidR="001567D2">
        <w:t>CO</w:t>
      </w:r>
      <w:r w:rsidR="001567D2">
        <w:rPr>
          <w:vertAlign w:val="subscript"/>
        </w:rPr>
        <w:t>2</w:t>
      </w:r>
      <w:r w:rsidR="001567D2">
        <w:t xml:space="preserve"> intensity</w:t>
      </w:r>
      <w:commentRangeEnd w:id="5"/>
      <w:r w:rsidR="001567D2">
        <w:rPr>
          <w:rStyle w:val="CommentReference"/>
        </w:rPr>
        <w:commentReference w:id="5"/>
      </w:r>
      <w:r w:rsidR="001567D2">
        <w:t xml:space="preserve"> </w:t>
      </w:r>
      <w:r w:rsidR="00561FF0">
        <w:t>in each sector</w:t>
      </w:r>
      <w:r w:rsidR="007407D9">
        <w:t xml:space="preserve"> and company revenue</w:t>
      </w:r>
      <w:r w:rsidR="00C73062">
        <w:t>.</w:t>
      </w:r>
    </w:p>
    <w:p w14:paraId="70048A52" w14:textId="55ED0552" w:rsidR="00EB72F4" w:rsidRDefault="001E46AF" w:rsidP="00F936D1">
      <w:pPr>
        <w:pStyle w:val="ListParagraph"/>
        <w:numPr>
          <w:ilvl w:val="0"/>
          <w:numId w:val="19"/>
        </w:numPr>
      </w:pPr>
      <w:commentRangeStart w:id="6"/>
      <w:r>
        <w:rPr>
          <w:b/>
        </w:rPr>
        <w:t>Abatement options:</w:t>
      </w:r>
      <w:r w:rsidRPr="00A63BDE">
        <w:t xml:space="preserve"> </w:t>
      </w:r>
      <w:r w:rsidR="007E0297">
        <w:t xml:space="preserve">companies </w:t>
      </w:r>
      <w:r w:rsidR="00EE7D1D">
        <w:t xml:space="preserve">can lower carbon costs by reducing emissions through fuel switching, </w:t>
      </w:r>
      <w:r w:rsidR="001A4973">
        <w:t xml:space="preserve">or </w:t>
      </w:r>
      <w:r w:rsidR="00E66E3C">
        <w:t>energy efficiency measures</w:t>
      </w:r>
      <w:r w:rsidR="00406C10">
        <w:t xml:space="preserve">; this </w:t>
      </w:r>
      <w:r w:rsidR="009F203B">
        <w:t xml:space="preserve">reduces carbon costs </w:t>
      </w:r>
      <w:r w:rsidR="00454063">
        <w:t>as long as the marginal abatement cost (US$/tonne CO</w:t>
      </w:r>
      <w:r w:rsidR="00454063">
        <w:rPr>
          <w:vertAlign w:val="subscript"/>
        </w:rPr>
        <w:t>2</w:t>
      </w:r>
      <w:r w:rsidR="00454063">
        <w:t>) is less than the CO</w:t>
      </w:r>
      <w:r w:rsidR="00454063">
        <w:rPr>
          <w:vertAlign w:val="subscript"/>
        </w:rPr>
        <w:t>2</w:t>
      </w:r>
      <w:r w:rsidR="00454063">
        <w:t xml:space="preserve"> price</w:t>
      </w:r>
      <w:r w:rsidR="00DF67F5">
        <w:t>.</w:t>
      </w:r>
      <w:r w:rsidR="002D799B">
        <w:t xml:space="preserve"> The </w:t>
      </w:r>
      <w:r w:rsidR="00630AD9">
        <w:t xml:space="preserve">economic </w:t>
      </w:r>
      <w:r w:rsidR="002D799B">
        <w:t xml:space="preserve">level of abatement can be determined from Marginal Abatement Cost (MAC) curves, and varies by </w:t>
      </w:r>
      <w:r w:rsidR="00A77B20">
        <w:t>industrial activity, region, year and oil price.</w:t>
      </w:r>
      <w:commentRangeEnd w:id="6"/>
      <w:r w:rsidR="00A073D3">
        <w:rPr>
          <w:rStyle w:val="CommentReference"/>
        </w:rPr>
        <w:commentReference w:id="6"/>
      </w:r>
    </w:p>
    <w:p w14:paraId="72331A81" w14:textId="0BB2CFAF" w:rsidR="00100C74" w:rsidRDefault="00902446" w:rsidP="00F936D1">
      <w:pPr>
        <w:pStyle w:val="ListParagraph"/>
        <w:numPr>
          <w:ilvl w:val="0"/>
          <w:numId w:val="19"/>
        </w:numPr>
      </w:pPr>
      <w:r>
        <w:rPr>
          <w:b/>
        </w:rPr>
        <w:t>Business</w:t>
      </w:r>
      <w:r w:rsidR="001C0469">
        <w:rPr>
          <w:b/>
        </w:rPr>
        <w:t>-</w:t>
      </w:r>
      <w:r>
        <w:rPr>
          <w:b/>
        </w:rPr>
        <w:t>as</w:t>
      </w:r>
      <w:r w:rsidR="001C0469">
        <w:rPr>
          <w:b/>
        </w:rPr>
        <w:t>-</w:t>
      </w:r>
      <w:r>
        <w:rPr>
          <w:b/>
        </w:rPr>
        <w:t>usual profits:</w:t>
      </w:r>
      <w:r w:rsidR="005535A1">
        <w:t xml:space="preserve"> </w:t>
      </w:r>
      <w:r w:rsidR="00025621">
        <w:t xml:space="preserve">these are found as </w:t>
      </w:r>
      <w:r w:rsidR="00E237A7">
        <w:t>the constant, nominal profit which</w:t>
      </w:r>
      <w:r w:rsidR="00770BF7">
        <w:t xml:space="preserve"> is equal to the market capitalisation in NPV terms under the assumed discount rate</w:t>
      </w:r>
      <w:r w:rsidR="00A42C85">
        <w:t>.</w:t>
      </w:r>
      <w:r w:rsidR="00100C74">
        <w:t xml:space="preserve"> </w:t>
      </w:r>
      <w:r w:rsidR="00336343">
        <w:t xml:space="preserve">This </w:t>
      </w:r>
      <w:r w:rsidR="007F71CD">
        <w:t xml:space="preserve">approach </w:t>
      </w:r>
      <w:r w:rsidR="00336343">
        <w:t xml:space="preserve">has </w:t>
      </w:r>
      <w:r w:rsidR="00100C74">
        <w:t xml:space="preserve">a number of </w:t>
      </w:r>
      <w:r w:rsidR="00336343">
        <w:t>limitations</w:t>
      </w:r>
      <w:r w:rsidR="00100C74">
        <w:t>:</w:t>
      </w:r>
    </w:p>
    <w:p w14:paraId="5F4B06B4" w14:textId="40C0CD4B" w:rsidR="00C74B81" w:rsidRDefault="001B565D" w:rsidP="00100C74">
      <w:pPr>
        <w:pStyle w:val="ListParagraph"/>
        <w:numPr>
          <w:ilvl w:val="1"/>
          <w:numId w:val="19"/>
        </w:numPr>
      </w:pPr>
      <w:r>
        <w:rPr>
          <w:b/>
        </w:rPr>
        <w:t xml:space="preserve">Inability to </w:t>
      </w:r>
      <w:r w:rsidR="00C7346A" w:rsidRPr="00100C74">
        <w:rPr>
          <w:b/>
        </w:rPr>
        <w:t xml:space="preserve">account for </w:t>
      </w:r>
      <w:r w:rsidR="00100C74">
        <w:rPr>
          <w:b/>
        </w:rPr>
        <w:t xml:space="preserve">existing pricing in of </w:t>
      </w:r>
      <w:r w:rsidR="0060167A" w:rsidRPr="00100C74">
        <w:rPr>
          <w:b/>
        </w:rPr>
        <w:t>climate policy risks</w:t>
      </w:r>
      <w:r w:rsidR="00BF3D6A">
        <w:t xml:space="preserve"> – </w:t>
      </w:r>
      <w:r w:rsidR="002C49D0">
        <w:t xml:space="preserve">the use of market capitalisation instead of </w:t>
      </w:r>
      <w:r w:rsidR="002C49D0">
        <w:rPr>
          <w:rFonts w:eastAsiaTheme="minorEastAsia"/>
        </w:rPr>
        <w:t xml:space="preserve">the unobserved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BAU</m:t>
            </m:r>
          </m:sup>
        </m:sSup>
      </m:oMath>
      <w:r w:rsidR="00BF3D6A">
        <w:t xml:space="preserve"> can </w:t>
      </w:r>
      <w:r w:rsidR="00A81C2C">
        <w:t xml:space="preserve">lead to an overstatement in the profit impacts of climate policy </w:t>
      </w:r>
      <w:r w:rsidR="00C74B81">
        <w:t>action</w:t>
      </w:r>
      <w:r w:rsidR="00946C30">
        <w:t>;</w:t>
      </w:r>
      <w:r w:rsidR="00515438">
        <w:br/>
      </w:r>
      <w:r w:rsidR="00515438"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Market cap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ρ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BAU</m:t>
              </m:r>
            </m:sup>
          </m:sSup>
          <m:r>
            <w:rPr>
              <w:rFonts w:ascii="Cambria Math" w:hAnsi="Cambria Math"/>
            </w:rPr>
            <m:t xml:space="preserve">+ ρ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2DS</m:t>
              </m:r>
              <w:commentRangeStart w:id="7"/>
              <w:commentRangeEnd w:id="7"/>
              <m:r>
                <m:rPr>
                  <m:sty m:val="p"/>
                </m:rPr>
                <w:rPr>
                  <w:rStyle w:val="CommentReference"/>
                </w:rPr>
                <w:commentReference w:id="7"/>
              </m:r>
            </m:sup>
          </m:sSup>
          <m:r>
            <m:rPr>
              <m:sty m:val="p"/>
            </m:rPr>
            <w:br/>
          </m:r>
        </m:oMath>
      </m:oMathPara>
    </w:p>
    <w:p w14:paraId="0B999F21" w14:textId="4BACAB50" w:rsidR="006D4D98" w:rsidRPr="006D4D98" w:rsidRDefault="00C74B81" w:rsidP="00100C74">
      <w:pPr>
        <w:pStyle w:val="ListParagraph"/>
        <w:numPr>
          <w:ilvl w:val="1"/>
          <w:numId w:val="19"/>
        </w:numPr>
      </w:pPr>
      <w:r>
        <w:rPr>
          <w:b/>
        </w:rPr>
        <w:t xml:space="preserve">No </w:t>
      </w:r>
      <w:r w:rsidR="00100C74" w:rsidRPr="00C74B81">
        <w:rPr>
          <w:b/>
        </w:rPr>
        <w:t xml:space="preserve">variation in </w:t>
      </w:r>
      <w:r>
        <w:rPr>
          <w:b/>
        </w:rPr>
        <w:t>nominal profit flows over time</w:t>
      </w:r>
      <w:r w:rsidR="00BF3D6A">
        <w:rPr>
          <w:b/>
        </w:rPr>
        <w:t xml:space="preserve"> </w:t>
      </w:r>
      <w:proofErr w:type="gramStart"/>
      <w:r w:rsidR="00BF3D6A">
        <w:t>–</w:t>
      </w:r>
      <w:r w:rsidR="0033758E">
        <w:t xml:space="preserve">  2</w:t>
      </w:r>
      <w:proofErr w:type="gramEnd"/>
      <w:r w:rsidR="0033758E">
        <w:t xml:space="preserve">DS </w:t>
      </w:r>
      <w:r w:rsidR="00026855">
        <w:t xml:space="preserve">scenario </w:t>
      </w:r>
      <w:r w:rsidR="0033758E">
        <w:t xml:space="preserve">impacts may be over or understated depending on when the market expects companies to pay dividends. For instance, </w:t>
      </w:r>
      <w:r w:rsidR="001000A1">
        <w:t xml:space="preserve">the market may price </w:t>
      </w:r>
      <w:r w:rsidR="00842850">
        <w:t xml:space="preserve">BP’s </w:t>
      </w:r>
      <w:r w:rsidR="001000A1">
        <w:t xml:space="preserve">stock based on its expected profit in the next 5 years, but </w:t>
      </w:r>
      <w:r w:rsidR="00842850">
        <w:t xml:space="preserve">value </w:t>
      </w:r>
      <w:r w:rsidR="001000A1">
        <w:t>Tesla based on its expected profit in 15 years</w:t>
      </w:r>
      <w:r w:rsidR="00F16CBE">
        <w:t>’</w:t>
      </w:r>
      <w:r w:rsidR="001000A1">
        <w:t xml:space="preserve"> time.</w:t>
      </w:r>
      <w:r w:rsidR="002427B6">
        <w:t xml:space="preserve"> This may mean BP is less exposed to climate risk than the model suggests</w:t>
      </w:r>
      <w:commentRangeStart w:id="8"/>
      <w:r w:rsidR="002427B6">
        <w:t xml:space="preserve">, while Tesla is more exposed, as </w:t>
      </w:r>
      <w:r w:rsidR="001E29EF">
        <w:t xml:space="preserve">its fortunes vary much more considerably with the policy environment </w:t>
      </w:r>
      <w:r w:rsidR="00AB0C43">
        <w:t>in a decade’s time</w:t>
      </w:r>
      <w:commentRangeEnd w:id="8"/>
      <w:r w:rsidR="00B80BD3">
        <w:rPr>
          <w:rStyle w:val="CommentReference"/>
        </w:rPr>
        <w:commentReference w:id="8"/>
      </w:r>
      <w:r w:rsidR="00946C30">
        <w:t>;</w:t>
      </w:r>
    </w:p>
    <w:p w14:paraId="5ED293AE" w14:textId="6B584099" w:rsidR="00C74B81" w:rsidRDefault="00946C30" w:rsidP="00100C74">
      <w:pPr>
        <w:pStyle w:val="ListParagraph"/>
        <w:numPr>
          <w:ilvl w:val="1"/>
          <w:numId w:val="19"/>
        </w:numPr>
      </w:pPr>
      <w:r>
        <w:rPr>
          <w:b/>
        </w:rPr>
        <w:t>Both of these shortcomings reflect a lack of data availability</w:t>
      </w:r>
      <w:r w:rsidR="00780568">
        <w:rPr>
          <w:b/>
        </w:rPr>
        <w:t>.</w:t>
      </w:r>
    </w:p>
    <w:p w14:paraId="487CBA35" w14:textId="77B3C567" w:rsidR="0000400B" w:rsidRDefault="0000400B" w:rsidP="00C76DC0">
      <w:pPr>
        <w:pStyle w:val="ListParagraph"/>
        <w:numPr>
          <w:ilvl w:val="0"/>
          <w:numId w:val="19"/>
        </w:numPr>
        <w:spacing w:line="240" w:lineRule="auto"/>
      </w:pPr>
      <w:r>
        <w:rPr>
          <w:b/>
        </w:rPr>
        <w:t>Number of firms:</w:t>
      </w:r>
      <w:r>
        <w:t xml:space="preserve"> </w:t>
      </w:r>
      <w:r w:rsidR="00987DEE">
        <w:t>the number of firms is estimated based on the Herfindahl</w:t>
      </w:r>
      <w:r w:rsidR="00803C42">
        <w:t>-Hirschman</w:t>
      </w:r>
      <w:r w:rsidR="00987DEE">
        <w:t xml:space="preserve"> index</w:t>
      </w:r>
      <w:r w:rsidR="0070594E">
        <w:t xml:space="preserve"> </w:t>
      </w:r>
      <w:r w:rsidR="009B304E">
        <w:t xml:space="preserve">of </w:t>
      </w:r>
      <w:r w:rsidR="0070594E">
        <w:t>market</w:t>
      </w:r>
      <w:r w:rsidR="009B304E">
        <w:t xml:space="preserve"> concentration</w:t>
      </w:r>
      <w:r w:rsidR="00BF1B43">
        <w:t>:</w:t>
      </w:r>
      <w:r w:rsidR="00C76DC0">
        <w:br/>
      </w:r>
      <m:oMathPara>
        <m:oMath>
          <m:r>
            <w:rPr>
              <w:rFonts w:ascii="Cambria Math" w:hAnsi="Cambria Math"/>
            </w:rPr>
            <m:t xml:space="preserve">Number of firms=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company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market share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F13BA">
        <w:rPr>
          <w:rFonts w:eastAsiaTheme="minorEastAsia"/>
        </w:rPr>
        <w:t>This is often replaced with the assumption that the number of firms is arbitrarily large (1bn)</w:t>
      </w:r>
      <w:r w:rsidR="006B7D52">
        <w:rPr>
          <w:rFonts w:eastAsiaTheme="minorEastAsia"/>
        </w:rPr>
        <w:t>.</w:t>
      </w:r>
    </w:p>
    <w:p w14:paraId="6FB90960" w14:textId="4CAFD764" w:rsidR="00C76DC0" w:rsidRDefault="000E5B8E" w:rsidP="00F936D1">
      <w:pPr>
        <w:pStyle w:val="ListParagraph"/>
        <w:numPr>
          <w:ilvl w:val="0"/>
          <w:numId w:val="19"/>
        </w:numPr>
      </w:pPr>
      <w:r w:rsidRPr="000E5B8E">
        <w:rPr>
          <w:b/>
        </w:rPr>
        <w:t>Tax shield</w:t>
      </w:r>
      <w:r>
        <w:t>:</w:t>
      </w:r>
      <w:r w:rsidR="00CF4454">
        <w:t xml:space="preserve"> </w:t>
      </w:r>
      <w:r w:rsidR="001C0469">
        <w:t xml:space="preserve">business-as-usual profits calculated on the basis of market capitalisation are </w:t>
      </w:r>
      <w:r w:rsidR="007912A4">
        <w:t xml:space="preserve">in post-tax terms – these are converted to pre-tax terms </w:t>
      </w:r>
      <w:r w:rsidR="002C33B3">
        <w:t>based on regional corporation taxation rates</w:t>
      </w:r>
      <w:r w:rsidR="007912A4">
        <w:t xml:space="preserve">. This is </w:t>
      </w:r>
      <w:r w:rsidR="0063020E">
        <w:t xml:space="preserve">important, as </w:t>
      </w:r>
      <w:r w:rsidR="002C33B3">
        <w:t xml:space="preserve">the burden of </w:t>
      </w:r>
      <w:r w:rsidR="003661DE">
        <w:t xml:space="preserve">taxation falls proportionally with profits, and </w:t>
      </w:r>
      <w:r w:rsidR="004776AA">
        <w:t>companies on the brink of closure do not pay corporation tax.</w:t>
      </w:r>
    </w:p>
    <w:p w14:paraId="199B466B" w14:textId="67B42F3E" w:rsidR="00F7149E" w:rsidRDefault="003018C7" w:rsidP="00F7149E">
      <w:pPr>
        <w:pStyle w:val="ListParagraph"/>
        <w:numPr>
          <w:ilvl w:val="0"/>
          <w:numId w:val="19"/>
        </w:numPr>
      </w:pPr>
      <w:r w:rsidRPr="00C039F6">
        <w:rPr>
          <w:b/>
        </w:rPr>
        <w:t>Firm closure</w:t>
      </w:r>
      <w:r w:rsidRPr="003018C7">
        <w:t>:</w:t>
      </w:r>
      <w:r w:rsidR="008F0D9E">
        <w:t xml:space="preserve"> companies </w:t>
      </w:r>
      <w:r w:rsidR="00882367">
        <w:t xml:space="preserve">making a loss in a particular market </w:t>
      </w:r>
      <w:r w:rsidR="00F81F68">
        <w:t xml:space="preserve">are assumed to </w:t>
      </w:r>
      <w:r w:rsidR="00897FF8">
        <w:t xml:space="preserve">exit </w:t>
      </w:r>
      <w:r w:rsidR="00882367">
        <w:t>that market</w:t>
      </w:r>
      <w:r w:rsidR="00E5182F">
        <w:t>, with a</w:t>
      </w:r>
      <w:commentRangeStart w:id="9"/>
      <w:r w:rsidR="00C41CF9">
        <w:t xml:space="preserve"> proportion of </w:t>
      </w:r>
      <w:r w:rsidR="000867C6">
        <w:t>closing firm</w:t>
      </w:r>
      <w:r w:rsidR="0029085B">
        <w:t>s</w:t>
      </w:r>
      <w:r w:rsidR="000867C6">
        <w:t>’ market share reallocated to surviving companies</w:t>
      </w:r>
      <w:r w:rsidR="00E5182F">
        <w:t xml:space="preserve"> in the market</w:t>
      </w:r>
      <w:r w:rsidR="000867C6">
        <w:t>.</w:t>
      </w:r>
      <w:commentRangeEnd w:id="9"/>
      <w:r w:rsidR="000867C6">
        <w:rPr>
          <w:rStyle w:val="CommentReference"/>
        </w:rPr>
        <w:commentReference w:id="9"/>
      </w:r>
      <w:r w:rsidR="00E5182F">
        <w:t xml:space="preserve"> </w:t>
      </w:r>
      <w:r w:rsidR="00244A12">
        <w:t>T</w:t>
      </w:r>
      <w:r w:rsidR="00E5182F">
        <w:t>he company continue</w:t>
      </w:r>
      <w:r w:rsidR="00951140">
        <w:t>s</w:t>
      </w:r>
      <w:r w:rsidR="00E5182F">
        <w:t xml:space="preserve"> producing in other </w:t>
      </w:r>
      <w:r w:rsidR="00244A12">
        <w:t>markets</w:t>
      </w:r>
      <w:r w:rsidR="0029085B">
        <w:t xml:space="preserve"> (other regions, or other sectors in the case of a conglomerate)</w:t>
      </w:r>
      <w:r w:rsidR="00244A12">
        <w:t xml:space="preserve"> it is </w:t>
      </w:r>
      <w:r w:rsidR="00951140">
        <w:t xml:space="preserve">present in, </w:t>
      </w:r>
      <w:r w:rsidR="000B045A">
        <w:t>until it ceases to be profitable in those markets</w:t>
      </w:r>
      <w:r w:rsidR="00951140">
        <w:t>.</w:t>
      </w:r>
    </w:p>
    <w:p w14:paraId="626C864A" w14:textId="77777777" w:rsidR="00294BFD" w:rsidRDefault="00294BFD" w:rsidP="00294BFD"/>
    <w:p w14:paraId="66FA4249" w14:textId="453A22E6" w:rsidR="004D21AA" w:rsidRDefault="00E429E0" w:rsidP="00E429E0">
      <w:r w:rsidRPr="00E429E0">
        <w:rPr>
          <w:b/>
        </w:rPr>
        <w:t xml:space="preserve">The key profit flow equation </w:t>
      </w:r>
      <w:r w:rsidR="00E14ECE">
        <w:rPr>
          <w:b/>
        </w:rPr>
        <w:t xml:space="preserve">is recursive and </w:t>
      </w:r>
      <w:r w:rsidRPr="00E429E0">
        <w:rPr>
          <w:b/>
        </w:rPr>
        <w:t xml:space="preserve">has two main terms: </w:t>
      </w:r>
      <w:r w:rsidR="00365F96">
        <w:rPr>
          <w:b/>
        </w:rPr>
        <w:t xml:space="preserve">firm-specific </w:t>
      </w:r>
      <w:r w:rsidRPr="00E429E0">
        <w:rPr>
          <w:b/>
        </w:rPr>
        <w:t xml:space="preserve">margin impact and </w:t>
      </w:r>
      <w:r w:rsidR="00365F96">
        <w:rPr>
          <w:b/>
        </w:rPr>
        <w:t xml:space="preserve">market-level </w:t>
      </w:r>
      <w:r w:rsidRPr="00E429E0">
        <w:rPr>
          <w:b/>
        </w:rPr>
        <w:t>sales impact.</w:t>
      </w:r>
      <w:r w:rsidR="00E47BA9">
        <w:rPr>
          <w:b/>
        </w:rPr>
        <w:t xml:space="preserve"> </w:t>
      </w:r>
      <w:r w:rsidR="00043B83">
        <w:t xml:space="preserve">Profit streams evolve over time </w:t>
      </w:r>
      <w:r w:rsidR="00366924">
        <w:t>depending on changes in each company’s profit margin, and quantity produced</w:t>
      </w:r>
      <w:r w:rsidR="00F275CC">
        <w:t>.</w:t>
      </w:r>
      <w:r w:rsidR="00F35AB9">
        <w:t xml:space="preserve"> </w:t>
      </w:r>
      <w:commentRangeStart w:id="10"/>
      <w:r w:rsidR="00F35AB9">
        <w:t xml:space="preserve">The sales impact term </w:t>
      </w:r>
      <w:r w:rsidR="00FC5379">
        <w:t xml:space="preserve">is assumed to take </w:t>
      </w:r>
      <w:r w:rsidR="00505373">
        <w:t>the same value for each company in the market</w:t>
      </w:r>
      <w:r w:rsidR="00AA3A84">
        <w:t xml:space="preserve"> for simplicity</w:t>
      </w:r>
      <w:r w:rsidR="00344657">
        <w:t>.</w:t>
      </w:r>
      <w:commentRangeEnd w:id="10"/>
      <w:r w:rsidR="00474C7D">
        <w:rPr>
          <w:rStyle w:val="CommentReference"/>
        </w:rPr>
        <w:commentReference w:id="10"/>
      </w:r>
      <w:r w:rsidR="00BB4FCE">
        <w:t xml:space="preserve"> The cross term reflects the interaction between the two terms.</w:t>
      </w:r>
      <w:r w:rsidR="00DC7DC7">
        <w:t xml:space="preserve"> This equation is used to model firm profits </w:t>
      </w:r>
      <w:r w:rsidR="00572BCC">
        <w:t>over the modelling period:</w:t>
      </w:r>
      <w:r w:rsidR="00DC7DC7">
        <w:t xml:space="preserve"> 2016 – 2040.</w:t>
      </w:r>
      <w:r w:rsidR="00A11D83">
        <w:t xml:space="preserve"> Details on how these equations are related to company financial data can be found in Section </w:t>
      </w:r>
      <w:r w:rsidR="00A11D83">
        <w:fldChar w:fldCharType="begin"/>
      </w:r>
      <w:r w:rsidR="00A11D83">
        <w:instrText xml:space="preserve"> REF _Ref508284129 \r \h </w:instrText>
      </w:r>
      <w:r w:rsidR="00A11D83">
        <w:fldChar w:fldCharType="separate"/>
      </w:r>
      <w:r w:rsidR="00A11D83">
        <w:t>1.1.3</w:t>
      </w:r>
      <w:r w:rsidR="00A11D83">
        <w:fldChar w:fldCharType="end"/>
      </w:r>
      <w:r w:rsidR="00A11D83">
        <w:t>.</w:t>
      </w:r>
    </w:p>
    <w:p w14:paraId="1812187D" w14:textId="77777777" w:rsidR="004D21AA" w:rsidRDefault="004D21AA" w:rsidP="00E429E0"/>
    <w:p w14:paraId="6383EE7A" w14:textId="06CBB86A" w:rsidR="007C27B0" w:rsidRPr="00123A56" w:rsidRDefault="008F2F74" w:rsidP="000F2B31">
      <w:pPr>
        <w:spacing w:line="24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Equation A: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Change in profit</m:t>
              </m:r>
            </m:lim>
          </m:limUpp>
          <m:r>
            <w:rPr>
              <w:rFonts w:ascii="Cambria Math" w:hAnsi="Cambria Math"/>
            </w:rPr>
            <m:t xml:space="preserve">≈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Margin impact</m:t>
              </m:r>
            </m:lim>
          </m:limUpp>
          <m:r>
            <w:rPr>
              <w:rFonts w:ascii="Cambria Math" w:hAnsi="Cambria Math"/>
            </w:rPr>
            <m:t xml:space="preserve">+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Sales impact</m:t>
              </m:r>
            </m:lim>
          </m:limUpp>
          <m:r>
            <w:rPr>
              <w:rFonts w:ascii="Cambria Math" w:hAnsi="Cambria Math"/>
            </w:rPr>
            <m:t xml:space="preserve">+     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Cross term</m:t>
              </m:r>
              <w:commentRangeStart w:id="11"/>
              <w:commentRangeEnd w:id="11"/>
              <m:r>
                <m:rPr>
                  <m:sty m:val="p"/>
                </m:rPr>
                <w:rPr>
                  <w:rStyle w:val="CommentReference"/>
                </w:rPr>
                <w:commentReference w:id="11"/>
              </m:r>
            </m:lim>
          </m:limUpp>
        </m:oMath>
      </m:oMathPara>
    </w:p>
    <w:p w14:paraId="506E5E19" w14:textId="34F56F23" w:rsidR="00123A56" w:rsidRDefault="00123A56" w:rsidP="000F2B31">
      <w:pPr>
        <w:spacing w:line="240" w:lineRule="auto"/>
        <w:rPr>
          <w:rFonts w:eastAsiaTheme="minorEastAsia"/>
        </w:rPr>
      </w:pPr>
    </w:p>
    <w:p w14:paraId="0728FD40" w14:textId="7D3743C0" w:rsidR="00C87B24" w:rsidRPr="00C87B24" w:rsidRDefault="00C87B24" w:rsidP="000F2B3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company i profit in year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company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margin in year (t-1</m:t>
          </m:r>
          <w:commentRangeStart w:id="12"/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3EE1E" w14:textId="17D1CB23" w:rsidR="00C87B24" w:rsidRPr="00C87B24" w:rsidRDefault="008946B2" w:rsidP="000F2B31">
      <w:pPr>
        <w:spacing w:line="240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Q</m:t>
              </m:r>
            </m:e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</m:sSup>
          <m:r>
            <w:rPr>
              <w:rFonts w:ascii="Cambria Math" w:eastAsiaTheme="minorEastAsia" w:hAnsi="Cambria Math"/>
            </w:rPr>
            <m:t xml:space="preserve"> is market quantity in year (t-1)</m:t>
          </m:r>
        </m:oMath>
      </m:oMathPara>
    </w:p>
    <w:p w14:paraId="1D1CD62A" w14:textId="5B722877" w:rsidR="00A9464B" w:rsidRDefault="00A9464B" w:rsidP="000F2B31">
      <w:pPr>
        <w:spacing w:line="240" w:lineRule="auto"/>
      </w:pPr>
    </w:p>
    <w:p w14:paraId="6AFDECE5" w14:textId="17BE7F7D" w:rsidR="00A9464B" w:rsidRDefault="00D665C8" w:rsidP="000F2B31">
      <w:pPr>
        <w:spacing w:line="240" w:lineRule="auto"/>
      </w:pPr>
      <w:r>
        <w:t xml:space="preserve">The </w:t>
      </w:r>
      <w:r w:rsidR="007807AB" w:rsidRPr="00107F38">
        <w:rPr>
          <w:b/>
        </w:rPr>
        <w:t xml:space="preserve">firm-level </w:t>
      </w:r>
      <w:r w:rsidRPr="00107F38">
        <w:rPr>
          <w:b/>
        </w:rPr>
        <w:t>margin impact</w:t>
      </w:r>
      <w:r>
        <w:t xml:space="preserve"> term </w:t>
      </w:r>
      <w:r w:rsidR="00A9464B">
        <w:t xml:space="preserve">can be </w:t>
      </w:r>
      <w:r w:rsidR="009D5D92">
        <w:t>written</w:t>
      </w:r>
      <w:r w:rsidR="00A9464B">
        <w:t xml:space="preserve"> as</w:t>
      </w:r>
      <w:r w:rsidR="00E64184">
        <w:t>:</w:t>
      </w:r>
    </w:p>
    <w:p w14:paraId="170D6365" w14:textId="307407AC" w:rsidR="00E64184" w:rsidRDefault="00E64184" w:rsidP="000F2B31">
      <w:pPr>
        <w:spacing w:line="240" w:lineRule="auto"/>
      </w:pPr>
    </w:p>
    <w:p w14:paraId="6E570BDA" w14:textId="48756D06" w:rsidR="00E64184" w:rsidRPr="00097D50" w:rsidRDefault="004C0064" w:rsidP="000F2B31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B:</m:t>
          </m:r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009C860" w14:textId="3D0F80EA" w:rsidR="006A3351" w:rsidRDefault="006A3351" w:rsidP="007E1EF4"/>
    <w:p w14:paraId="16D15499" w14:textId="18F6EB5D" w:rsidR="00A104AB" w:rsidRPr="00A104AB" w:rsidRDefault="00A104AB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company i cost pass through rate</m:t>
          </m:r>
        </m:oMath>
      </m:oMathPara>
    </w:p>
    <w:p w14:paraId="53B01E6F" w14:textId="3DA2E9BA" w:rsidR="00A104AB" w:rsidRPr="007F3AB7" w:rsidRDefault="00043F18" w:rsidP="007E1E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company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unit cost</m:t>
          </m:r>
        </m:oMath>
      </m:oMathPara>
    </w:p>
    <w:p w14:paraId="00766A5C" w14:textId="0CEA58A1" w:rsidR="005E49F8" w:rsidRDefault="00043F18" w:rsidP="007E1EF4">
      <m:oMathPara>
        <m:oMath>
          <m:r>
            <w:rPr>
              <w:rFonts w:ascii="Cambria Math" w:hAnsi="Cambria Math"/>
            </w:rPr>
            <m:t xml:space="preserve">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company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profit margin in the previous period</m:t>
          </m:r>
        </m:oMath>
      </m:oMathPara>
    </w:p>
    <w:p w14:paraId="232B5F79" w14:textId="08160120" w:rsidR="00A104AB" w:rsidRDefault="00A104AB" w:rsidP="007E1EF4"/>
    <w:p w14:paraId="4F35EEFB" w14:textId="73E18D32" w:rsidR="008E24FA" w:rsidRDefault="008E24FA" w:rsidP="007E1EF4">
      <w:pPr>
        <w:rPr>
          <w:rFonts w:eastAsiaTheme="minorEastAsia"/>
        </w:rPr>
      </w:pPr>
      <w:r>
        <w:t xml:space="preserve">The firm-level cost pass through rate,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can be </w:t>
      </w:r>
      <w:r w:rsidR="00281970">
        <w:rPr>
          <w:rFonts w:eastAsiaTheme="minorEastAsia"/>
        </w:rPr>
        <w:t>written as:</w:t>
      </w:r>
    </w:p>
    <w:p w14:paraId="2EF2A263" w14:textId="7B685CBE" w:rsidR="00281970" w:rsidRDefault="00281970" w:rsidP="007E1EF4"/>
    <w:p w14:paraId="6DBAEDFD" w14:textId="36F9017B" w:rsidR="00281970" w:rsidRDefault="0010071A" w:rsidP="00E66CED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C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≡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 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w:commentRangeStart w:id="13"/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B9A1BB8" w14:textId="540296AE" w:rsidR="008E24FA" w:rsidRDefault="008E24FA" w:rsidP="007E1EF4"/>
    <w:p w14:paraId="025B8488" w14:textId="5EAA5213" w:rsidR="00BE3698" w:rsidRPr="00BE3698" w:rsidRDefault="00BE3698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where θ</m:t>
          </m:r>
          <m:r>
            <w:rPr>
              <w:rFonts w:ascii="Cambria Math" w:eastAsiaTheme="minorEastAsia" w:hAnsi="Cambria Math"/>
            </w:rPr>
            <m:t xml:space="preserve"> is the market competition parameter</m:t>
          </m:r>
        </m:oMath>
      </m:oMathPara>
    </w:p>
    <w:p w14:paraId="471B807D" w14:textId="15D0C4FB" w:rsidR="00BE3698" w:rsidRPr="00D60336" w:rsidRDefault="00DE6356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 is the product differentiation parameter</m:t>
          </m:r>
        </m:oMath>
      </m:oMathPara>
    </w:p>
    <w:p w14:paraId="67D6A204" w14:textId="56B09ACD" w:rsidR="00D60336" w:rsidRPr="003B0BEA" w:rsidRDefault="00DE6356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is the number of firms in the market</m:t>
          </m:r>
        </m:oMath>
      </m:oMathPara>
    </w:p>
    <w:p w14:paraId="51960117" w14:textId="271EDD33" w:rsidR="003B0BEA" w:rsidRPr="00AC04AB" w:rsidRDefault="00DE6356" w:rsidP="003B0B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             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 xml:space="preserve"> is the industry average unit cost</m:t>
          </m:r>
        </m:oMath>
      </m:oMathPara>
    </w:p>
    <w:p w14:paraId="00C2C60E" w14:textId="77777777" w:rsidR="00916742" w:rsidRDefault="00916742" w:rsidP="007E1EF4"/>
    <w:p w14:paraId="77199F7D" w14:textId="02EE0858" w:rsidR="005108A7" w:rsidRDefault="009D5D92" w:rsidP="007E1EF4">
      <w:r>
        <w:t xml:space="preserve">The </w:t>
      </w:r>
      <w:r w:rsidRPr="00107F38">
        <w:rPr>
          <w:b/>
        </w:rPr>
        <w:t>market-level sales impact</w:t>
      </w:r>
      <w:r>
        <w:t xml:space="preserve"> can be written as:</w:t>
      </w:r>
    </w:p>
    <w:p w14:paraId="59F30E1C" w14:textId="24191905" w:rsidR="006271CF" w:rsidRDefault="006271CF" w:rsidP="007E1EF4"/>
    <w:p w14:paraId="71E1A55D" w14:textId="51D00F14" w:rsidR="006271CF" w:rsidRDefault="006271CF" w:rsidP="006271CF">
      <w:pPr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D: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- η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 (1-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C593FA3" w14:textId="77777777" w:rsidR="005108A7" w:rsidRDefault="005108A7" w:rsidP="007E1EF4"/>
    <w:p w14:paraId="33DEDB00" w14:textId="25C738B2" w:rsidR="005108A7" w:rsidRPr="00375EE7" w:rsidRDefault="005B7244" w:rsidP="007E1E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is the industry average cost pass through rate</m:t>
          </m:r>
        </m:oMath>
      </m:oMathPara>
    </w:p>
    <w:p w14:paraId="66D6C6D3" w14:textId="3CAFC88C" w:rsidR="00375EE7" w:rsidRPr="00AC04AB" w:rsidRDefault="00AC04AB" w:rsidP="007E1EF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     η is the price elasticity of demand</m:t>
          </m:r>
        </m:oMath>
      </m:oMathPara>
    </w:p>
    <w:p w14:paraId="7BD787DF" w14:textId="3BF074EC" w:rsidR="008E24FA" w:rsidRPr="008E24FA" w:rsidRDefault="00AC04AB" w:rsidP="007E1E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 xml:space="preserve"> is the industry average profit margin in the previous period</m:t>
          </m:r>
        </m:oMath>
      </m:oMathPara>
    </w:p>
    <w:p w14:paraId="0F64014C" w14:textId="57E1A3A5" w:rsidR="005B7244" w:rsidRDefault="005B7244" w:rsidP="007E1EF4"/>
    <w:p w14:paraId="064FE2FC" w14:textId="47EA308C" w:rsidR="001168AF" w:rsidRPr="00EC0201" w:rsidRDefault="007763DE" w:rsidP="005A146A">
      <w:pPr>
        <w:spacing w:line="240" w:lineRule="auto"/>
      </w:pPr>
      <w:r w:rsidRPr="004E6DA4">
        <w:rPr>
          <w:b/>
        </w:rPr>
        <w:t xml:space="preserve">The value impairments (gains) </w:t>
      </w:r>
      <w:r w:rsidR="00CD72FB">
        <w:rPr>
          <w:b/>
        </w:rPr>
        <w:t xml:space="preserve">index is </w:t>
      </w:r>
      <w:r w:rsidR="004E6DA4" w:rsidRPr="004E6DA4">
        <w:rPr>
          <w:b/>
        </w:rPr>
        <w:t>the net present value of modelled profits</w:t>
      </w:r>
      <w:r w:rsidR="005A146A">
        <w:rPr>
          <w:b/>
        </w:rPr>
        <w:t xml:space="preserve"> </w:t>
      </w:r>
      <w:r w:rsidR="00065D67">
        <w:rPr>
          <w:b/>
        </w:rPr>
        <w:t xml:space="preserve">relative </w:t>
      </w:r>
      <w:r w:rsidR="005A146A">
        <w:rPr>
          <w:b/>
        </w:rPr>
        <w:t>to market capitalisation</w:t>
      </w:r>
      <w:r w:rsidR="004E6DA4" w:rsidRPr="004E6DA4">
        <w:rPr>
          <w:b/>
        </w:rPr>
        <w:t>:</w:t>
      </w:r>
      <w:r w:rsidR="00EC0201">
        <w:rPr>
          <w:b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NPV modelled profit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t-2016</m:t>
                      </m:r>
                    </m:sup>
                  </m:sSup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Index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NPV modelled profit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Market capitalisation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09400698" w14:textId="28379C06" w:rsidR="001168AF" w:rsidRDefault="001168AF" w:rsidP="007E1EF4"/>
    <w:p w14:paraId="5A8C9862" w14:textId="1F411668" w:rsidR="003226FB" w:rsidRDefault="00CD72FB" w:rsidP="007E1EF4">
      <w:r w:rsidRPr="00A21502">
        <w:rPr>
          <w:b/>
        </w:rPr>
        <w:t xml:space="preserve">The index </w:t>
      </w:r>
      <w:r w:rsidR="00690FD1" w:rsidRPr="00A21502">
        <w:rPr>
          <w:b/>
        </w:rPr>
        <w:t xml:space="preserve">captures how badly (well) a company fares under </w:t>
      </w:r>
      <w:r w:rsidR="0018398F">
        <w:rPr>
          <w:b/>
        </w:rPr>
        <w:t xml:space="preserve">a </w:t>
      </w:r>
      <w:r w:rsidR="00690FD1" w:rsidRPr="00A21502">
        <w:rPr>
          <w:b/>
        </w:rPr>
        <w:t xml:space="preserve">climate policy scenario relative to </w:t>
      </w:r>
      <w:r w:rsidR="0018398F">
        <w:rPr>
          <w:b/>
        </w:rPr>
        <w:t xml:space="preserve">under a </w:t>
      </w:r>
      <w:r w:rsidR="00690FD1" w:rsidRPr="00A21502">
        <w:rPr>
          <w:b/>
        </w:rPr>
        <w:t>business as usual scenario, where there is no carbon pricing.</w:t>
      </w:r>
      <w:r w:rsidR="00A21502">
        <w:t xml:space="preserve"> The index is 0% for a firm which is entirely unaffected by the climate policy scenario, as the firm’s NPV modelled profit </w:t>
      </w:r>
      <w:r w:rsidR="00EA3E4F">
        <w:t xml:space="preserve">is equal to </w:t>
      </w:r>
      <w:r w:rsidR="00A21502">
        <w:t>market capitalisation</w:t>
      </w:r>
      <w:r w:rsidR="00EA3E4F">
        <w:t xml:space="preserve"> in this case</w:t>
      </w:r>
      <w:r w:rsidR="00A21502">
        <w:t>.</w:t>
      </w:r>
      <w:r w:rsidR="005F7DDA">
        <w:t xml:space="preserve"> The majority of companies will </w:t>
      </w:r>
      <w:r w:rsidR="005D0BB3">
        <w:t xml:space="preserve">have negative index values, representing </w:t>
      </w:r>
      <w:r w:rsidR="005F7DDA">
        <w:t>lower profits under 2DS scenarios relative to business as usual.</w:t>
      </w:r>
      <w:r w:rsidR="00043048">
        <w:t xml:space="preserve"> </w:t>
      </w:r>
      <w:r w:rsidR="005D0BB3">
        <w:t>Some c</w:t>
      </w:r>
      <w:r w:rsidR="006E2263">
        <w:t xml:space="preserve">ompanies </w:t>
      </w:r>
      <w:r w:rsidR="005D0BB3">
        <w:t xml:space="preserve">will have positive index values, reflecting </w:t>
      </w:r>
      <w:r w:rsidR="00634220">
        <w:t>higher than business-as-usual</w:t>
      </w:r>
      <w:r w:rsidR="00D71343">
        <w:t xml:space="preserve"> </w:t>
      </w:r>
      <w:r w:rsidR="00634220">
        <w:t>profits under climate policy</w:t>
      </w:r>
      <w:r w:rsidR="00D71343">
        <w:t xml:space="preserve">. </w:t>
      </w:r>
      <w:r w:rsidR="00FD76ED">
        <w:t>This may include c</w:t>
      </w:r>
      <w:r w:rsidR="00D71343">
        <w:t>ompanies with substantial green sector exposure</w:t>
      </w:r>
      <w:r w:rsidR="00193C9F">
        <w:t>,</w:t>
      </w:r>
      <w:r w:rsidR="00D71343">
        <w:t xml:space="preserve"> </w:t>
      </w:r>
      <w:r w:rsidR="00AD6803">
        <w:t xml:space="preserve">and </w:t>
      </w:r>
      <w:r w:rsidR="00E520EE">
        <w:t xml:space="preserve">those </w:t>
      </w:r>
      <w:r w:rsidR="00FD76ED">
        <w:t xml:space="preserve">active </w:t>
      </w:r>
      <w:r w:rsidR="0018398F">
        <w:t>in emissions</w:t>
      </w:r>
      <w:r w:rsidR="00700BC2">
        <w:t>-</w:t>
      </w:r>
      <w:r w:rsidR="0018398F">
        <w:t xml:space="preserve">intensive sectors, </w:t>
      </w:r>
      <w:r w:rsidR="00FD76ED">
        <w:t xml:space="preserve">who are </w:t>
      </w:r>
      <w:r w:rsidR="0018398F">
        <w:t xml:space="preserve">considerably </w:t>
      </w:r>
      <w:r w:rsidR="0018398F" w:rsidRPr="00E520EE">
        <w:rPr>
          <w:i/>
        </w:rPr>
        <w:t xml:space="preserve">less emissions intensive than their </w:t>
      </w:r>
      <w:r w:rsidR="00E520EE">
        <w:rPr>
          <w:i/>
        </w:rPr>
        <w:t xml:space="preserve">market </w:t>
      </w:r>
      <w:r w:rsidR="00E520EE" w:rsidRPr="00E520EE">
        <w:rPr>
          <w:i/>
        </w:rPr>
        <w:t>rivals</w:t>
      </w:r>
      <w:r w:rsidR="0018398F">
        <w:t>.</w:t>
      </w:r>
    </w:p>
    <w:p w14:paraId="1F0551C0" w14:textId="77777777" w:rsidR="00BC764C" w:rsidRDefault="00BC764C" w:rsidP="007E1EF4"/>
    <w:p w14:paraId="3C55AD02" w14:textId="0F8233B1" w:rsidR="0054393F" w:rsidRDefault="0054393F" w:rsidP="0054393F">
      <w:pPr>
        <w:pStyle w:val="Heading3"/>
      </w:pPr>
      <w:bookmarkStart w:id="14" w:name="_Ref508284129"/>
      <w:r>
        <w:t>Model steps</w:t>
      </w:r>
      <w:r w:rsidR="00453100">
        <w:t xml:space="preserve"> for calculating profit in </w:t>
      </w:r>
      <w:r w:rsidR="00C96169">
        <w:t>period t, from model fundamentals in period (t-1)</w:t>
      </w:r>
      <w:bookmarkEnd w:id="14"/>
    </w:p>
    <w:p w14:paraId="64149D17" w14:textId="7521913D" w:rsidR="001D4DA6" w:rsidRDefault="00DD6BCB" w:rsidP="00A86FCA">
      <w:pPr>
        <w:pStyle w:val="ListParagraph"/>
        <w:numPr>
          <w:ilvl w:val="0"/>
          <w:numId w:val="20"/>
        </w:numPr>
      </w:pPr>
      <w:bookmarkStart w:id="15" w:name="_Ref508117065"/>
      <w:bookmarkStart w:id="16" w:name="_Ref508207622"/>
      <w:r>
        <w:t>Calculate</w:t>
      </w:r>
      <w:r w:rsidR="0093309E">
        <w:t xml:space="preserve"> change in</w:t>
      </w:r>
      <w:r>
        <w:t xml:space="preserve"> carbon costs in period t, based on the carbon price, </w:t>
      </w:r>
      <w:r w:rsidR="001D4DA6">
        <w:t xml:space="preserve">efficient </w:t>
      </w:r>
      <w:r>
        <w:t>level of abatement</w:t>
      </w:r>
      <w:r w:rsidR="00586B54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F15BB">
        <w:rPr>
          <w:rFonts w:eastAsiaTheme="minorEastAsia"/>
        </w:rPr>
        <w:t xml:space="preserve">, </w:t>
      </w:r>
      <w:r>
        <w:t>and average abatement cost</w:t>
      </w:r>
      <w:r w:rsidR="008D579F">
        <w:t xml:space="preserve">,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1D4DA6">
        <w:t>:</w:t>
      </w:r>
      <w:r w:rsidR="001D4DA6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Carbon cost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Carbon price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15"/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Carbon cost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Carbon cost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Carbon cost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w:bookmarkEnd w:id="16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297720D" w14:textId="34A89D50" w:rsidR="001E22D5" w:rsidRDefault="001E22D5" w:rsidP="003C1AC9">
      <w:pPr>
        <w:pStyle w:val="ListParagraph"/>
        <w:numPr>
          <w:ilvl w:val="0"/>
          <w:numId w:val="20"/>
        </w:numPr>
        <w:spacing w:line="240" w:lineRule="auto"/>
      </w:pPr>
      <w:bookmarkStart w:id="17" w:name="_Ref508209967"/>
      <w:bookmarkStart w:id="18" w:name="_Ref508113454"/>
      <w:commentRangeStart w:id="19"/>
      <w:r>
        <w:t xml:space="preserve">Change in unit cost </w:t>
      </w:r>
      <w:r w:rsidR="0088152D">
        <w:t>can be expressed in terms of (</w:t>
      </w:r>
      <w:r w:rsidR="006216D1">
        <w:fldChar w:fldCharType="begin"/>
      </w:r>
      <w:r w:rsidR="006216D1">
        <w:instrText xml:space="preserve"> REF _Ref508207622 \r \h </w:instrText>
      </w:r>
      <w:r w:rsidR="006216D1">
        <w:fldChar w:fldCharType="separate"/>
      </w:r>
      <w:r w:rsidR="001B237C">
        <w:t>1</w:t>
      </w:r>
      <w:r w:rsidR="006216D1">
        <w:fldChar w:fldCharType="end"/>
      </w:r>
      <w:r w:rsidR="0088152D">
        <w:t>), and emissions intensity of production. Note that this assumes constant marginal costs (and therefore unit costs)</w:t>
      </w:r>
      <w:r w:rsidR="00892942">
        <w:t>.</w:t>
      </w:r>
      <w:r w:rsidR="00892942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Carbon cost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×Emissions intensity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Carbon cost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emissions</m:t>
                  </m:r>
                </m:e>
                <m:sub>
                  <m:r>
                    <w:rPr>
                      <w:rFonts w:ascii="Cambria Math" w:hAnsi="Cambria Math"/>
                    </w:rPr>
                    <m:t>2015,i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Quantity</m:t>
                  </m:r>
                </m:e>
                <m:sub>
                  <m:r>
                    <w:rPr>
                      <w:rFonts w:ascii="Cambria Math" w:hAnsi="Cambria Math"/>
                    </w:rPr>
                    <m:t>2015, i</m:t>
                  </m:r>
                </m:sub>
              </m:sSub>
            </m:den>
          </m:f>
          <w:bookmarkEnd w:id="17"/>
          <m:r>
            <m:rPr>
              <m:sty m:val="p"/>
            </m:rPr>
            <w:br/>
          </m:r>
        </m:oMath>
      </m:oMathPara>
    </w:p>
    <w:p w14:paraId="33AC2973" w14:textId="694EEAC9" w:rsidR="004F0C6A" w:rsidRDefault="004F0C6A" w:rsidP="003C1AC9">
      <w:pPr>
        <w:pStyle w:val="ListParagraph"/>
        <w:numPr>
          <w:ilvl w:val="0"/>
          <w:numId w:val="20"/>
        </w:numPr>
        <w:spacing w:line="240" w:lineRule="auto"/>
      </w:pPr>
      <w:bookmarkStart w:id="20" w:name="_Ref508209975"/>
      <w:bookmarkStart w:id="21" w:name="_Ref508214710"/>
      <w:r>
        <w:t>The new unit cost can then be expressed based on (</w:t>
      </w:r>
      <w:r>
        <w:fldChar w:fldCharType="begin"/>
      </w:r>
      <w:r>
        <w:instrText xml:space="preserve"> REF _Ref508209967 \r \h </w:instrText>
      </w:r>
      <w:r>
        <w:fldChar w:fldCharType="separate"/>
      </w:r>
      <w:r w:rsidR="001B237C">
        <w:t>2</w:t>
      </w:r>
      <w:r>
        <w:fldChar w:fldCharType="end"/>
      </w:r>
      <w:r>
        <w:t>) and the unit cost in the previous year (</w:t>
      </w:r>
      <w:r>
        <w:fldChar w:fldCharType="begin"/>
      </w:r>
      <w:r>
        <w:instrText xml:space="preserve"> REF _Ref508209975 \r \h </w:instrText>
      </w:r>
      <w:r>
        <w:fldChar w:fldCharType="separate"/>
      </w:r>
      <w:r w:rsidR="001B237C">
        <w:t>3</w:t>
      </w:r>
      <w:r>
        <w:fldChar w:fldCharType="end"/>
      </w:r>
      <w:r>
        <w:t>)</w:t>
      </w:r>
      <w:bookmarkEnd w:id="20"/>
      <w:r w:rsidR="00586E18">
        <w:t>:</w:t>
      </w:r>
      <w:commentRangeEnd w:id="19"/>
      <w:r w:rsidR="00BD0D20">
        <w:rPr>
          <w:rStyle w:val="CommentReference"/>
        </w:rPr>
        <w:commentReference w:id="19"/>
      </w:r>
      <w:r w:rsidR="00230F0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21"/>
          <m:r>
            <m:rPr>
              <m:sty m:val="p"/>
            </m:rPr>
            <w:br/>
          </m:r>
        </m:oMath>
      </m:oMathPara>
    </w:p>
    <w:p w14:paraId="0903C90C" w14:textId="2DC56FFD" w:rsidR="00A86FCA" w:rsidRPr="007557AE" w:rsidRDefault="006E2B25" w:rsidP="003C1AC9">
      <w:pPr>
        <w:pStyle w:val="ListParagraph"/>
        <w:numPr>
          <w:ilvl w:val="0"/>
          <w:numId w:val="20"/>
        </w:numPr>
        <w:spacing w:line="240" w:lineRule="auto"/>
      </w:pPr>
      <w:bookmarkStart w:id="22" w:name="_Ref508210590"/>
      <w:r>
        <w:t xml:space="preserve">Calculate number of firms in period t, based on market share </w:t>
      </w:r>
      <w:r w:rsidR="000E60BC">
        <w:rPr>
          <w:rFonts w:eastAsiaTheme="minorEastAsia"/>
        </w:rPr>
        <w:t>in the previous year</w:t>
      </w:r>
      <w:r w:rsidR="004A6D7C">
        <w:rPr>
          <w:rFonts w:eastAsiaTheme="minorEastAsia"/>
        </w:rPr>
        <w:t xml:space="preserve"> (</w:t>
      </w:r>
      <w:r w:rsidR="004A6D7C">
        <w:rPr>
          <w:rFonts w:eastAsiaTheme="minorEastAsia"/>
        </w:rPr>
        <w:fldChar w:fldCharType="begin"/>
      </w:r>
      <w:r w:rsidR="004A6D7C">
        <w:rPr>
          <w:rFonts w:eastAsiaTheme="minorEastAsia"/>
        </w:rPr>
        <w:instrText xml:space="preserve"> REF _Ref508205158 \r \h </w:instrText>
      </w:r>
      <w:r w:rsidR="004A6D7C">
        <w:rPr>
          <w:rFonts w:eastAsiaTheme="minorEastAsia"/>
        </w:rPr>
      </w:r>
      <w:r w:rsidR="004A6D7C">
        <w:rPr>
          <w:rFonts w:eastAsiaTheme="minorEastAsia"/>
        </w:rPr>
        <w:fldChar w:fldCharType="separate"/>
      </w:r>
      <w:r w:rsidR="001B237C">
        <w:rPr>
          <w:rFonts w:eastAsiaTheme="minorEastAsia"/>
        </w:rPr>
        <w:t>19</w:t>
      </w:r>
      <w:r w:rsidR="004A6D7C">
        <w:rPr>
          <w:rFonts w:eastAsiaTheme="minorEastAsia"/>
        </w:rPr>
        <w:fldChar w:fldCharType="end"/>
      </w:r>
      <w:r w:rsidR="004A6D7C">
        <w:rPr>
          <w:rFonts w:eastAsiaTheme="minorEastAsia"/>
        </w:rPr>
        <w:t>)</w:t>
      </w:r>
      <w:r w:rsidR="007557AE">
        <w:rPr>
          <w:rFonts w:eastAsiaTheme="minorEastAsia"/>
        </w:rPr>
        <w:t>:</w:t>
      </w:r>
      <w:r w:rsidR="007557AE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  <w:bookmarkEnd w:id="18"/>
      <w:bookmarkEnd w:id="22"/>
    </w:p>
    <w:p w14:paraId="61CE1486" w14:textId="5298AEB5" w:rsidR="008A3ED0" w:rsidRDefault="008A3ED0" w:rsidP="002D39FD">
      <w:pPr>
        <w:spacing w:line="240" w:lineRule="auto"/>
        <w:ind w:left="360"/>
      </w:pPr>
    </w:p>
    <w:p w14:paraId="34AC3D1E" w14:textId="18FB1B23" w:rsidR="003A7BD8" w:rsidRDefault="00D32F23" w:rsidP="00737A6D">
      <w:pPr>
        <w:pStyle w:val="ListParagraph"/>
        <w:numPr>
          <w:ilvl w:val="0"/>
          <w:numId w:val="20"/>
        </w:numPr>
        <w:spacing w:line="240" w:lineRule="auto"/>
      </w:pPr>
      <w:bookmarkStart w:id="23" w:name="_Ref508113442"/>
      <w:r>
        <w:t>As the change in carbon cost is the same for all companies within a market, t</w:t>
      </w:r>
      <w:r w:rsidR="003366CE">
        <w:t xml:space="preserve">he </w:t>
      </w:r>
      <w:r w:rsidR="005D2C43">
        <w:t xml:space="preserve">change in industry average unit cost relative to the change </w:t>
      </w:r>
      <w:r w:rsidR="003D6301">
        <w:t xml:space="preserve">in company </w:t>
      </w:r>
      <w:r w:rsidR="00B2214F">
        <w:t>i</w:t>
      </w:r>
      <w:r w:rsidR="003D6301">
        <w:t>’s</w:t>
      </w:r>
      <w:r>
        <w:t xml:space="preserve"> unit cost can be expressed as: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 Carbon cost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Emissions intensity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 Carbon cost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Emissions intensity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FA0034">
        <w:t xml:space="preserve">That is, the ratio of the </w:t>
      </w:r>
      <w:r w:rsidR="00960C94">
        <w:t xml:space="preserve">industry </w:t>
      </w:r>
      <w:r w:rsidR="00FA0034">
        <w:t xml:space="preserve">average </w:t>
      </w:r>
      <w:r w:rsidR="00415478">
        <w:t xml:space="preserve">emissions </w:t>
      </w:r>
      <w:r w:rsidR="00FA0034">
        <w:t>intensity of output</w:t>
      </w:r>
      <w:r w:rsidR="00C51353">
        <w:t xml:space="preserve"> in 2015</w:t>
      </w:r>
      <w:r w:rsidR="00FA0034">
        <w:t>, to the carbon intensity of firm i’s output</w:t>
      </w:r>
      <w:r w:rsidR="00C51353">
        <w:t xml:space="preserve"> in 2015</w:t>
      </w:r>
      <w:r w:rsidR="00FA0034">
        <w:t>.</w:t>
      </w:r>
      <w:bookmarkEnd w:id="23"/>
      <w:r w:rsidR="00C51353">
        <w:t xml:space="preserve"> </w:t>
      </w:r>
      <w:r w:rsidR="008213F7">
        <w:t xml:space="preserve">Ignoring firm closure, relative emissions intensity does not change over time because </w:t>
      </w:r>
      <w:r w:rsidR="006D3CA8">
        <w:t xml:space="preserve">all firms have the same abatement options available to them. NB due to firm closure, </w:t>
      </w:r>
      <w:r w:rsidR="00C51353">
        <w:t xml:space="preserve">the industry average emissions intensity </w:t>
      </w:r>
      <w:r w:rsidR="006D3CA8">
        <w:t xml:space="preserve">can change </w:t>
      </w:r>
      <w:r w:rsidR="00C51353">
        <w:t>over time</w:t>
      </w:r>
      <w:r w:rsidR="008A1224">
        <w:t xml:space="preserve"> and is defined in (</w:t>
      </w:r>
      <w:r w:rsidR="008A1224">
        <w:fldChar w:fldCharType="begin"/>
      </w:r>
      <w:r w:rsidR="008A1224">
        <w:instrText xml:space="preserve"> REF _Ref508214764 \r \h </w:instrText>
      </w:r>
      <w:r w:rsidR="008A1224">
        <w:fldChar w:fldCharType="separate"/>
      </w:r>
      <w:r w:rsidR="001B237C">
        <w:t>26</w:t>
      </w:r>
      <w:r w:rsidR="008A1224">
        <w:fldChar w:fldCharType="end"/>
      </w:r>
      <w:r w:rsidR="008A1224">
        <w:t>)</w:t>
      </w:r>
      <w:r w:rsidR="006D3CA8">
        <w:t>.</w:t>
      </w:r>
      <w:r w:rsidR="00FA0034">
        <w:br/>
      </w:r>
    </w:p>
    <w:p w14:paraId="52CC1D98" w14:textId="471C1846" w:rsidR="00CA791D" w:rsidRDefault="006D4F97" w:rsidP="00A86FCA">
      <w:pPr>
        <w:pStyle w:val="ListParagraph"/>
        <w:numPr>
          <w:ilvl w:val="0"/>
          <w:numId w:val="20"/>
        </w:numPr>
      </w:pPr>
      <w:bookmarkStart w:id="24" w:name="_Ref508117313"/>
      <w:bookmarkStart w:id="25" w:name="_Ref508197160"/>
      <w:r w:rsidRPr="00F73037">
        <w:rPr>
          <w:b/>
        </w:rPr>
        <w:t>Cost pass through</w:t>
      </w:r>
      <w:r>
        <w:t xml:space="preserve"> for firm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r w:rsidR="00DD0C43">
        <w:rPr>
          <w:rFonts w:eastAsiaTheme="minorEastAsia"/>
        </w:rPr>
        <w:t xml:space="preserve"> and industry average cost pass through rate,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 w:rsidR="008B341C">
        <w:rPr>
          <w:rFonts w:eastAsiaTheme="minorEastAsia"/>
        </w:rPr>
        <w:t>,</w:t>
      </w:r>
      <w:r>
        <w:rPr>
          <w:rFonts w:eastAsiaTheme="minorEastAsia"/>
        </w:rPr>
        <w:t xml:space="preserve"> can </w:t>
      </w:r>
      <w:r w:rsidR="00FA4C38">
        <w:rPr>
          <w:rFonts w:eastAsiaTheme="minorEastAsia"/>
        </w:rPr>
        <w:t xml:space="preserve">now </w:t>
      </w:r>
      <w:r>
        <w:rPr>
          <w:rFonts w:eastAsiaTheme="minorEastAsia"/>
        </w:rPr>
        <w:t xml:space="preserve">be calculated using </w:t>
      </w:r>
      <w:r>
        <w:t xml:space="preserve">Equation C (Section </w:t>
      </w:r>
      <w:r>
        <w:fldChar w:fldCharType="begin"/>
      </w:r>
      <w:r>
        <w:instrText xml:space="preserve"> REF _Ref508113291 \r \h </w:instrText>
      </w:r>
      <w:r>
        <w:fldChar w:fldCharType="separate"/>
      </w:r>
      <w:r w:rsidR="001B237C">
        <w:t>1.1.2</w:t>
      </w:r>
      <w:r>
        <w:fldChar w:fldCharType="end"/>
      </w:r>
      <w:r>
        <w:t>)</w:t>
      </w:r>
      <w:r w:rsidR="00FA4C38">
        <w:t xml:space="preserve">, and the </w:t>
      </w:r>
      <w:r w:rsidR="002F39C0">
        <w:t>results from (</w:t>
      </w:r>
      <w:r w:rsidR="006A684D">
        <w:fldChar w:fldCharType="begin"/>
      </w:r>
      <w:r w:rsidR="006A684D">
        <w:instrText xml:space="preserve"> REF _Ref508113454 \r \h </w:instrText>
      </w:r>
      <w:r w:rsidR="006A684D">
        <w:fldChar w:fldCharType="separate"/>
      </w:r>
      <w:r w:rsidR="001B237C">
        <w:t>2</w:t>
      </w:r>
      <w:r w:rsidR="006A684D">
        <w:fldChar w:fldCharType="end"/>
      </w:r>
      <w:r w:rsidR="002F39C0">
        <w:t xml:space="preserve">) and </w:t>
      </w:r>
      <w:r w:rsidR="006A684D">
        <w:t>(</w:t>
      </w:r>
      <w:r w:rsidR="006A684D">
        <w:fldChar w:fldCharType="begin"/>
      </w:r>
      <w:r w:rsidR="006A684D">
        <w:instrText xml:space="preserve"> REF _Ref508113442 \r \h </w:instrText>
      </w:r>
      <w:r w:rsidR="006A684D">
        <w:fldChar w:fldCharType="separate"/>
      </w:r>
      <w:r w:rsidR="001B237C">
        <w:t>5</w:t>
      </w:r>
      <w:r w:rsidR="006A684D">
        <w:fldChar w:fldCharType="end"/>
      </w:r>
      <w:r w:rsidR="006A684D">
        <w:t>)</w:t>
      </w:r>
      <w:bookmarkEnd w:id="24"/>
      <w:r w:rsidR="00943DE9">
        <w:t>.</w:t>
      </w:r>
      <w:bookmarkEnd w:id="25"/>
      <w:r w:rsidR="00935DBD">
        <w:br/>
      </w:r>
    </w:p>
    <w:p w14:paraId="22D57A54" w14:textId="66F0C493" w:rsidR="00CA791D" w:rsidRDefault="00CA791D" w:rsidP="00CA791D">
      <w:pPr>
        <w:pStyle w:val="ListParagraph"/>
        <w:spacing w:line="24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Equation C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 θ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ac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w:commentRangeStart w:id="26"/>
          <w:commentRangeEnd w:id="26"/>
          <m:r>
            <m:rPr>
              <m:sty m:val="p"/>
            </m:rPr>
            <w:rPr>
              <w:rStyle w:val="CommentReference"/>
              <w:rFonts w:ascii="Cambria Math" w:hAnsi="Cambria Math"/>
            </w:rPr>
            <w:commentReference w:id="26"/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B8BD87" w14:textId="7301DB2C" w:rsidR="008F15A1" w:rsidRDefault="008F15A1" w:rsidP="00CA791D">
      <w:pPr>
        <w:pStyle w:val="ListParagraph"/>
      </w:pPr>
    </w:p>
    <w:p w14:paraId="0B933FDF" w14:textId="18AE008C" w:rsidR="007344A4" w:rsidRDefault="00703675" w:rsidP="006C0C9D">
      <w:pPr>
        <w:pStyle w:val="ListParagraph"/>
        <w:numPr>
          <w:ilvl w:val="0"/>
          <w:numId w:val="20"/>
        </w:numPr>
        <w:spacing w:line="240" w:lineRule="auto"/>
      </w:pPr>
      <w:bookmarkStart w:id="27" w:name="_Ref508117325"/>
      <w:bookmarkStart w:id="28" w:name="_Ref508197167"/>
      <w:r>
        <w:t>% c</w:t>
      </w:r>
      <w:r w:rsidR="007344A4">
        <w:t xml:space="preserve">hange in </w:t>
      </w:r>
      <w:r w:rsidR="00FF56E9">
        <w:t xml:space="preserve">company i’s </w:t>
      </w:r>
      <w:r>
        <w:t>unit cost, can be found using (</w:t>
      </w:r>
      <w:r w:rsidR="004420E4">
        <w:fldChar w:fldCharType="begin"/>
      </w:r>
      <w:r w:rsidR="004420E4">
        <w:instrText xml:space="preserve"> REF _Ref508209967 \r \h </w:instrText>
      </w:r>
      <w:r w:rsidR="004420E4">
        <w:fldChar w:fldCharType="separate"/>
      </w:r>
      <w:r w:rsidR="001B237C">
        <w:t>2</w:t>
      </w:r>
      <w:r w:rsidR="004420E4">
        <w:fldChar w:fldCharType="end"/>
      </w:r>
      <w:r>
        <w:t>)</w:t>
      </w:r>
      <w:r w:rsidR="00E27D39">
        <w:t>,</w:t>
      </w:r>
      <w:r w:rsidR="009439C6">
        <w:t xml:space="preserve"> and</w:t>
      </w:r>
      <w:r>
        <w:t xml:space="preserve"> </w:t>
      </w:r>
      <w:r w:rsidRPr="004420E4">
        <w:t>(</w:t>
      </w:r>
      <w:r w:rsidR="004420E4" w:rsidRPr="004420E4">
        <w:fldChar w:fldCharType="begin"/>
      </w:r>
      <w:r w:rsidR="004420E4" w:rsidRPr="004420E4">
        <w:instrText xml:space="preserve"> REF _Ref508214710 \r \h </w:instrText>
      </w:r>
      <w:r w:rsidR="004420E4">
        <w:instrText xml:space="preserve"> \* MERGEFORMAT </w:instrText>
      </w:r>
      <w:r w:rsidR="004420E4" w:rsidRPr="004420E4">
        <w:fldChar w:fldCharType="separate"/>
      </w:r>
      <w:r w:rsidR="001B237C">
        <w:t>3</w:t>
      </w:r>
      <w:r w:rsidR="004420E4" w:rsidRPr="004420E4">
        <w:fldChar w:fldCharType="end"/>
      </w:r>
      <w:r>
        <w:t>)</w:t>
      </w:r>
      <w:r w:rsidR="004420E4">
        <w:t xml:space="preserve"> </w:t>
      </w:r>
      <w:r w:rsidR="00E27D39">
        <w:t>from the previous period:</w:t>
      </w:r>
      <w:bookmarkEnd w:id="27"/>
      <w:bookmarkEnd w:id="28"/>
      <m:oMath>
        <m:r>
          <m:rPr>
            <m:sty m:val="p"/>
          </m:rPr>
          <w:br/>
        </m:r>
      </m:oMath>
    </w:p>
    <w:p w14:paraId="2B37ABB7" w14:textId="42EC4052" w:rsidR="00202234" w:rsidRDefault="00146ACD" w:rsidP="00515EC3">
      <w:pPr>
        <w:pStyle w:val="ListParagraph"/>
        <w:numPr>
          <w:ilvl w:val="0"/>
          <w:numId w:val="20"/>
        </w:numPr>
        <w:spacing w:line="240" w:lineRule="auto"/>
      </w:pPr>
      <w:bookmarkStart w:id="29" w:name="_Ref508120505"/>
      <w:r>
        <w:t xml:space="preserve">The </w:t>
      </w:r>
      <w:r w:rsidRPr="00C26322">
        <w:rPr>
          <w:b/>
        </w:rPr>
        <w:t>m</w:t>
      </w:r>
      <w:r w:rsidR="00FA122B" w:rsidRPr="00C26322">
        <w:rPr>
          <w:b/>
        </w:rPr>
        <w:t>arket-level sales impact</w:t>
      </w:r>
      <w:r w:rsidR="002172E7">
        <w:t xml:space="preserve"> can </w:t>
      </w:r>
      <w:r>
        <w:t xml:space="preserve">also be found using </w:t>
      </w:r>
      <w:r w:rsidR="00534CAA">
        <w:t>(</w:t>
      </w:r>
      <w:r w:rsidR="007A2A60">
        <w:fldChar w:fldCharType="begin"/>
      </w:r>
      <w:r w:rsidR="007A2A60">
        <w:instrText xml:space="preserve"> REF _Ref508117313 \r \h </w:instrText>
      </w:r>
      <w:r w:rsidR="007A2A60">
        <w:fldChar w:fldCharType="separate"/>
      </w:r>
      <w:r w:rsidR="001B237C">
        <w:t>6</w:t>
      </w:r>
      <w:r w:rsidR="007A2A60">
        <w:fldChar w:fldCharType="end"/>
      </w:r>
      <w:r w:rsidR="00534CAA">
        <w:t>), (</w:t>
      </w:r>
      <w:r w:rsidR="007A2A60">
        <w:fldChar w:fldCharType="begin"/>
      </w:r>
      <w:r w:rsidR="007A2A60">
        <w:instrText xml:space="preserve"> REF _Ref508117325 \r \h </w:instrText>
      </w:r>
      <w:r w:rsidR="007A2A60">
        <w:fldChar w:fldCharType="separate"/>
      </w:r>
      <w:r w:rsidR="001B237C">
        <w:t>7</w:t>
      </w:r>
      <w:r w:rsidR="007A2A60">
        <w:fldChar w:fldCharType="end"/>
      </w:r>
      <w:r w:rsidR="007A2A60">
        <w:t>)</w:t>
      </w:r>
      <w:r w:rsidR="00766F2A">
        <w:t>, and (</w:t>
      </w:r>
      <w:r w:rsidR="003E5FD2">
        <w:fldChar w:fldCharType="begin"/>
      </w:r>
      <w:r w:rsidR="003E5FD2">
        <w:instrText xml:space="preserve"> REF _Ref508214559 \r \h </w:instrText>
      </w:r>
      <w:r w:rsidR="003E5FD2">
        <w:fldChar w:fldCharType="separate"/>
      </w:r>
      <w:r w:rsidR="001B237C">
        <w:t>25</w:t>
      </w:r>
      <w:r w:rsidR="003E5FD2">
        <w:fldChar w:fldCharType="end"/>
      </w:r>
      <w:r w:rsidR="00766F2A">
        <w:t>) from the previous period</w:t>
      </w:r>
      <w:r w:rsidR="000968B1">
        <w:t xml:space="preserve">, and Equation D (Section </w:t>
      </w:r>
      <w:r w:rsidR="000968B1">
        <w:fldChar w:fldCharType="begin"/>
      </w:r>
      <w:r w:rsidR="000968B1">
        <w:instrText xml:space="preserve"> REF _Ref508113291 \r \h </w:instrText>
      </w:r>
      <w:r w:rsidR="000968B1">
        <w:fldChar w:fldCharType="separate"/>
      </w:r>
      <w:r w:rsidR="001B237C">
        <w:t>1.1.2</w:t>
      </w:r>
      <w:r w:rsidR="000968B1">
        <w:fldChar w:fldCharType="end"/>
      </w:r>
      <w:r w:rsidR="000968B1">
        <w:t>)</w:t>
      </w:r>
      <w:r w:rsidR="00943DE9">
        <w:t>.</w:t>
      </w:r>
      <w:bookmarkEnd w:id="29"/>
      <w:r w:rsidR="00515EC3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Equation D: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- η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 (1-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7502D93B" w14:textId="66F1953E" w:rsidR="003D69FB" w:rsidRPr="004E1DF0" w:rsidRDefault="00202234" w:rsidP="00202234">
      <w:pPr>
        <w:pStyle w:val="ListParagraph"/>
        <w:numPr>
          <w:ilvl w:val="0"/>
          <w:numId w:val="20"/>
        </w:numPr>
        <w:spacing w:line="240" w:lineRule="auto"/>
      </w:pPr>
      <w:bookmarkStart w:id="30" w:name="_Ref508198563"/>
      <w:commentRangeStart w:id="31"/>
      <w:r w:rsidRPr="00202234">
        <w:rPr>
          <w:b/>
        </w:rPr>
        <w:t>For power generation utilities, the sales impact term is adjusted to</w:t>
      </w:r>
      <w:r>
        <w:t xml:space="preserve"> </w:t>
      </w:r>
      <w:r w:rsidRPr="00202234">
        <w:rPr>
          <w:b/>
        </w:rPr>
        <w:t>reflect the effect of renewable growth on the fossil generation market</w:t>
      </w:r>
      <w:r w:rsidR="00850CFC">
        <w:rPr>
          <w:b/>
        </w:rPr>
        <w:t xml:space="preserve">, </w:t>
      </w:r>
      <w:r w:rsidR="00850CFC">
        <w:t>using the share of renewables, the growth rate of renewables, (</w:t>
      </w:r>
      <w:r w:rsidR="00850CFC">
        <w:fldChar w:fldCharType="begin"/>
      </w:r>
      <w:r w:rsidR="00850CFC">
        <w:instrText xml:space="preserve"> REF _Ref508113454 \r \h </w:instrText>
      </w:r>
      <w:r w:rsidR="00850CFC">
        <w:fldChar w:fldCharType="separate"/>
      </w:r>
      <w:r w:rsidR="001B237C">
        <w:t>2</w:t>
      </w:r>
      <w:r w:rsidR="00850CFC">
        <w:fldChar w:fldCharType="end"/>
      </w:r>
      <w:r w:rsidR="00850CFC">
        <w:t>) and (</w:t>
      </w:r>
      <w:r w:rsidR="00850CFC">
        <w:fldChar w:fldCharType="begin"/>
      </w:r>
      <w:r w:rsidR="00850CFC">
        <w:instrText xml:space="preserve"> REF _Ref508120505 \r \h </w:instrText>
      </w:r>
      <w:r w:rsidR="00850CFC">
        <w:fldChar w:fldCharType="separate"/>
      </w:r>
      <w:r w:rsidR="001B237C">
        <w:t>8</w:t>
      </w:r>
      <w:r w:rsidR="00850CFC">
        <w:fldChar w:fldCharType="end"/>
      </w:r>
      <w:r w:rsidR="00850CFC">
        <w:t>)</w:t>
      </w:r>
      <w:r w:rsidRPr="00990D3E">
        <w:t>:</w:t>
      </w:r>
      <w:commentRangeEnd w:id="31"/>
      <w:r w:rsidRPr="00990D3E">
        <w:rPr>
          <w:rStyle w:val="CommentReference"/>
        </w:rPr>
        <w:commentReference w:id="31"/>
      </w:r>
      <w:r w:rsidR="00C15E7F" w:rsidRPr="00202234">
        <w:rPr>
          <w:b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Utilities sales factor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Utilities sales term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+θ</m:t>
              </m:r>
            </m:den>
          </m:f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 growth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ren share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den>
              </m:f>
            </m:e>
            <m:sub>
              <m:r>
                <w:rPr>
                  <w:rFonts w:ascii="Cambria Math" w:hAnsi="Cambria Math"/>
                </w:rPr>
                <m:t>Utilities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den>
              </m:f>
            </m:e>
            <m: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REF _Ref508120505 \r \h </m:t>
              </m:r>
              <m:r>
                <w:rPr>
                  <w:rFonts w:ascii="Cambria Math" w:hAnsi="Cambria Math"/>
                  <w:i/>
                </w:rPr>
              </m:r>
              <m:r>
                <w:rPr>
                  <w:rFonts w:ascii="Cambria Math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i/>
                </w:rPr>
                <w:fldChar w:fldCharType="end"/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Utilities sales factor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Utilities sales term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w:bookmarkEnd w:id="30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F232C83" w14:textId="1BB17397" w:rsidR="004E1DF0" w:rsidRDefault="00493B0F" w:rsidP="00202234">
      <w:pPr>
        <w:pStyle w:val="ListParagraph"/>
        <w:numPr>
          <w:ilvl w:val="0"/>
          <w:numId w:val="20"/>
        </w:numPr>
        <w:spacing w:line="240" w:lineRule="auto"/>
      </w:pPr>
      <w:bookmarkStart w:id="32" w:name="_Ref508198410"/>
      <w:r>
        <w:t xml:space="preserve">The </w:t>
      </w:r>
      <w:r>
        <w:rPr>
          <w:b/>
        </w:rPr>
        <w:t xml:space="preserve">firm-level margin impact </w:t>
      </w:r>
      <w:r>
        <w:t>can then be found using (</w:t>
      </w:r>
      <w:r w:rsidR="00482132">
        <w:fldChar w:fldCharType="begin"/>
      </w:r>
      <w:r w:rsidR="00482132">
        <w:instrText xml:space="preserve"> REF _Ref508197160 \r \h </w:instrText>
      </w:r>
      <w:r w:rsidR="00482132">
        <w:fldChar w:fldCharType="separate"/>
      </w:r>
      <w:r w:rsidR="001B237C">
        <w:t>6</w:t>
      </w:r>
      <w:r w:rsidR="00482132">
        <w:fldChar w:fldCharType="end"/>
      </w:r>
      <w:r>
        <w:t xml:space="preserve">), </w:t>
      </w:r>
      <w:r w:rsidR="00913507">
        <w:t>(</w:t>
      </w:r>
      <w:r w:rsidR="00482132">
        <w:fldChar w:fldCharType="begin"/>
      </w:r>
      <w:r w:rsidR="00482132">
        <w:instrText xml:space="preserve"> REF _Ref508197167 \r \h </w:instrText>
      </w:r>
      <w:r w:rsidR="00482132">
        <w:fldChar w:fldCharType="separate"/>
      </w:r>
      <w:r w:rsidR="001B237C">
        <w:t>7</w:t>
      </w:r>
      <w:r w:rsidR="00482132">
        <w:fldChar w:fldCharType="end"/>
      </w:r>
      <w:r w:rsidR="00913507">
        <w:t>)</w:t>
      </w:r>
      <w:r w:rsidR="00482132">
        <w:t>, and (</w:t>
      </w:r>
      <w:r w:rsidR="003E5FD2">
        <w:rPr>
          <w:highlight w:val="yellow"/>
        </w:rPr>
        <w:fldChar w:fldCharType="begin"/>
      </w:r>
      <w:r w:rsidR="003E5FD2">
        <w:instrText xml:space="preserve"> REF _Ref508214559 \r \h </w:instrText>
      </w:r>
      <w:r w:rsidR="003E5FD2">
        <w:rPr>
          <w:highlight w:val="yellow"/>
        </w:rPr>
      </w:r>
      <w:r w:rsidR="003E5FD2">
        <w:rPr>
          <w:highlight w:val="yellow"/>
        </w:rPr>
        <w:fldChar w:fldCharType="separate"/>
      </w:r>
      <w:r w:rsidR="001B237C">
        <w:t>25</w:t>
      </w:r>
      <w:r w:rsidR="003E5FD2">
        <w:rPr>
          <w:highlight w:val="yellow"/>
        </w:rPr>
        <w:fldChar w:fldCharType="end"/>
      </w:r>
      <w:r w:rsidR="00482132">
        <w:t xml:space="preserve">) from the previous period, and Equation B (Section </w:t>
      </w:r>
      <w:r w:rsidR="00482132">
        <w:fldChar w:fldCharType="begin"/>
      </w:r>
      <w:r w:rsidR="00482132">
        <w:instrText xml:space="preserve"> REF _Ref508113291 \r \h </w:instrText>
      </w:r>
      <w:r w:rsidR="00482132">
        <w:fldChar w:fldCharType="separate"/>
      </w:r>
      <w:r w:rsidR="001B237C">
        <w:t>1.1.2</w:t>
      </w:r>
      <w:r w:rsidR="00482132">
        <w:fldChar w:fldCharType="end"/>
      </w:r>
      <w:r w:rsidR="00482132">
        <w:t>).</w:t>
      </w:r>
      <w:bookmarkEnd w:id="32"/>
      <w:r w:rsidR="00483800"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Equation B:</m:t>
          </m:r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(1-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14:paraId="1A7E7BEC" w14:textId="4436AB51" w:rsidR="00FB1816" w:rsidRPr="00FB1816" w:rsidRDefault="00084CD9" w:rsidP="00202234">
      <w:pPr>
        <w:pStyle w:val="ListParagraph"/>
        <w:numPr>
          <w:ilvl w:val="0"/>
          <w:numId w:val="20"/>
        </w:numPr>
        <w:spacing w:line="240" w:lineRule="auto"/>
      </w:pPr>
      <w:bookmarkStart w:id="33" w:name="_Ref508198576"/>
      <w:commentRangeStart w:id="34"/>
      <w:r w:rsidRPr="00B678FD">
        <w:rPr>
          <w:b/>
        </w:rPr>
        <w:t>For power generation u</w:t>
      </w:r>
      <w:r w:rsidR="007B6D0C" w:rsidRPr="00B678FD">
        <w:rPr>
          <w:b/>
        </w:rPr>
        <w:t>tilities</w:t>
      </w:r>
      <w:r w:rsidRPr="00B678FD">
        <w:rPr>
          <w:b/>
        </w:rPr>
        <w:t xml:space="preserve">, the </w:t>
      </w:r>
      <w:r w:rsidR="007B6D0C" w:rsidRPr="00B678FD">
        <w:rPr>
          <w:b/>
        </w:rPr>
        <w:t xml:space="preserve">margin impact term </w:t>
      </w:r>
      <w:r w:rsidRPr="00B678FD">
        <w:rPr>
          <w:b/>
        </w:rPr>
        <w:t>is also adjusted to reflect the effect of renewable growth on the fossil generation market</w:t>
      </w:r>
      <w:r>
        <w:t>, using the share of renewables, the growth rate of renewables, (</w:t>
      </w:r>
      <w:r>
        <w:fldChar w:fldCharType="begin"/>
      </w:r>
      <w:r>
        <w:instrText xml:space="preserve"> REF _Ref508113454 \r \h </w:instrText>
      </w:r>
      <w:r>
        <w:fldChar w:fldCharType="separate"/>
      </w:r>
      <w:r w:rsidR="001B237C">
        <w:t>2</w:t>
      </w:r>
      <w:r>
        <w:fldChar w:fldCharType="end"/>
      </w:r>
      <w:r>
        <w:t>), and (</w:t>
      </w:r>
      <w:r w:rsidR="003E5FD2">
        <w:fldChar w:fldCharType="begin"/>
      </w:r>
      <w:r w:rsidR="003E5FD2">
        <w:instrText xml:space="preserve"> REF _Ref508214559 \r \h </w:instrText>
      </w:r>
      <w:r w:rsidR="003E5FD2">
        <w:fldChar w:fldCharType="separate"/>
      </w:r>
      <w:r w:rsidR="001B237C">
        <w:t>25</w:t>
      </w:r>
      <w:r w:rsidR="003E5FD2">
        <w:fldChar w:fldCharType="end"/>
      </w:r>
      <w:r>
        <w:t>) from the previous period</w:t>
      </w:r>
      <w:commentRangeEnd w:id="34"/>
      <w:r w:rsidR="000D5314">
        <w:rPr>
          <w:rStyle w:val="CommentReference"/>
        </w:rPr>
        <w:commentReference w:id="34"/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Utilities margin term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ren share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ren growth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w:bookmarkEnd w:id="33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7C2ED6A" w14:textId="27FB6FDB" w:rsidR="007B6D0C" w:rsidRDefault="008946B2" w:rsidP="00FB1816">
      <w:pPr>
        <w:pStyle w:val="ListParagraph"/>
        <w:spacing w:line="24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Utilities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i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REF _Ref508198410 \r \h </m:t>
              </m:r>
              <m:r>
                <w:rPr>
                  <w:rFonts w:ascii="Cambria Math" w:eastAsiaTheme="minorEastAsia" w:hAnsi="Cambria Math"/>
                  <w:i/>
                </w:rPr>
              </m:r>
              <m:r>
                <w:rPr>
                  <w:rFonts w:ascii="Cambria Math" w:eastAsiaTheme="minorEastAsia" w:hAnsi="Cambria Math"/>
                  <w:i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  <w:i/>
                </w:rPr>
                <w:fldChar w:fldCharType="end"/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Utilities margin term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E83D920" w14:textId="63203363" w:rsidR="001B56CF" w:rsidRPr="001B56CF" w:rsidRDefault="009E13E4" w:rsidP="00202234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bookmarkStart w:id="35" w:name="_Ref508201527"/>
      <w:bookmarkStart w:id="36" w:name="_Ref508199660"/>
      <w:r w:rsidRPr="0093466E">
        <w:rPr>
          <w:b/>
        </w:rPr>
        <w:t xml:space="preserve">Profit </w:t>
      </w:r>
      <w:r w:rsidR="0093466E" w:rsidRPr="0093466E">
        <w:rPr>
          <w:b/>
        </w:rPr>
        <w:t xml:space="preserve">before firm </w:t>
      </w:r>
      <w:r w:rsidRPr="0093466E">
        <w:rPr>
          <w:b/>
        </w:rPr>
        <w:t xml:space="preserve">closure and </w:t>
      </w:r>
      <w:r w:rsidR="0093466E" w:rsidRPr="0093466E">
        <w:rPr>
          <w:b/>
        </w:rPr>
        <w:t xml:space="preserve">corporation </w:t>
      </w:r>
      <w:r w:rsidRPr="0093466E">
        <w:rPr>
          <w:b/>
        </w:rPr>
        <w:t>tax</w:t>
      </w:r>
      <w:r w:rsidR="0093466E">
        <w:rPr>
          <w:b/>
        </w:rPr>
        <w:t xml:space="preserve"> </w:t>
      </w:r>
      <w:r w:rsidR="0093466E">
        <w:t>is then found using (</w:t>
      </w:r>
      <w:r w:rsidR="006F3139">
        <w:fldChar w:fldCharType="begin"/>
      </w:r>
      <w:r w:rsidR="006F3139">
        <w:instrText xml:space="preserve"> REF _Ref508198563 \r \h </w:instrText>
      </w:r>
      <w:r w:rsidR="006F3139">
        <w:fldChar w:fldCharType="separate"/>
      </w:r>
      <w:r w:rsidR="001B237C">
        <w:t>9</w:t>
      </w:r>
      <w:r w:rsidR="006F3139">
        <w:fldChar w:fldCharType="end"/>
      </w:r>
      <w:r w:rsidR="0093466E">
        <w:t>), (</w:t>
      </w:r>
      <w:r w:rsidR="006F3139">
        <w:fldChar w:fldCharType="begin"/>
      </w:r>
      <w:r w:rsidR="006F3139">
        <w:instrText xml:space="preserve"> REF _Ref508198576 \r \h </w:instrText>
      </w:r>
      <w:r w:rsidR="006F3139">
        <w:fldChar w:fldCharType="separate"/>
      </w:r>
      <w:r w:rsidR="001B237C">
        <w:t>11</w:t>
      </w:r>
      <w:r w:rsidR="006F3139">
        <w:fldChar w:fldCharType="end"/>
      </w:r>
      <w:r w:rsidR="0093466E">
        <w:t xml:space="preserve">), and </w:t>
      </w:r>
      <w:r w:rsidR="00BA7697" w:rsidRPr="00382A0A">
        <w:t>(</w:t>
      </w:r>
      <w:r w:rsidR="00BA7697" w:rsidRPr="00382A0A">
        <w:fldChar w:fldCharType="begin"/>
      </w:r>
      <w:r w:rsidR="00BA7697" w:rsidRPr="00382A0A">
        <w:instrText xml:space="preserve"> REF _Ref508201835 \r \h </w:instrText>
      </w:r>
      <w:r w:rsidR="00382A0A">
        <w:instrText xml:space="preserve"> \* MERGEFORMAT </w:instrText>
      </w:r>
      <w:r w:rsidR="00BA7697" w:rsidRPr="00382A0A">
        <w:fldChar w:fldCharType="separate"/>
      </w:r>
      <w:r w:rsidR="001B237C">
        <w:t>20</w:t>
      </w:r>
      <w:r w:rsidR="00BA7697" w:rsidRPr="00382A0A">
        <w:fldChar w:fldCharType="end"/>
      </w:r>
      <w:r w:rsidR="00BA7697" w:rsidRPr="00382A0A">
        <w:t>)</w:t>
      </w:r>
      <w:r w:rsidR="0093466E" w:rsidRPr="00382A0A">
        <w:t xml:space="preserve"> in the previous period</w:t>
      </w:r>
      <w:r w:rsidR="001B56CF">
        <w:t>, and Equation A</w:t>
      </w:r>
      <w:r w:rsidR="00505FF0">
        <w:t xml:space="preserve"> (Section </w:t>
      </w:r>
      <w:r w:rsidR="00505FF0">
        <w:fldChar w:fldCharType="begin"/>
      </w:r>
      <w:r w:rsidR="00505FF0">
        <w:instrText xml:space="preserve"> REF _Ref508113291 \r \h </w:instrText>
      </w:r>
      <w:r w:rsidR="00505FF0">
        <w:fldChar w:fldCharType="separate"/>
      </w:r>
      <w:r w:rsidR="001B237C">
        <w:t>1.1.2</w:t>
      </w:r>
      <w:r w:rsidR="00505FF0">
        <w:fldChar w:fldCharType="end"/>
      </w:r>
      <w:r w:rsidR="00505FF0">
        <w:t>)</w:t>
      </w:r>
      <w:r w:rsidR="00990D3E">
        <w:t>:</w:t>
      </w:r>
      <w:bookmarkEnd w:id="35"/>
      <w:r w:rsidR="001B56CF">
        <w:br/>
      </w:r>
    </w:p>
    <w:p w14:paraId="474189F4" w14:textId="77777777" w:rsidR="001B56CF" w:rsidRPr="001B56CF" w:rsidRDefault="001B56CF" w:rsidP="001B56CF">
      <w:pPr>
        <w:pStyle w:val="ListParagraph"/>
        <w:spacing w:line="240" w:lineRule="auto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Equation A: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Change in profit</m:t>
              </m:r>
            </m:lim>
          </m:limUpp>
          <m:r>
            <w:rPr>
              <w:rFonts w:ascii="Cambria Math" w:hAnsi="Cambria Math"/>
            </w:rPr>
            <m:t xml:space="preserve">≈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Margin impact</m:t>
              </m:r>
            </m:lim>
          </m:limUpp>
          <m:r>
            <w:rPr>
              <w:rFonts w:ascii="Cambria Math" w:hAnsi="Cambria Math"/>
            </w:rPr>
            <m:t xml:space="preserve">+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Sales impact</m:t>
              </m:r>
            </m:lim>
          </m:limUpp>
          <m:r>
            <w:rPr>
              <w:rFonts w:ascii="Cambria Math" w:hAnsi="Cambria Math"/>
            </w:rPr>
            <m:t xml:space="preserve">+      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</w:rPr>
                <m:t>Cross term</m:t>
              </m:r>
              <w:commentRangeStart w:id="37"/>
              <w:commentRangeEnd w:id="37"/>
              <m:r>
                <m:rPr>
                  <m:sty m:val="p"/>
                </m:rPr>
                <w:rPr>
                  <w:rStyle w:val="CommentReference"/>
                  <w:rFonts w:ascii="Cambria Math" w:hAnsi="Cambria Math"/>
                </w:rPr>
                <w:commentReference w:id="37"/>
              </m:r>
            </m:lim>
          </m:limUpp>
        </m:oMath>
      </m:oMathPara>
    </w:p>
    <w:p w14:paraId="796C2005" w14:textId="0CCEDDD6" w:rsidR="009E13E4" w:rsidRPr="0093466E" w:rsidRDefault="009D527D" w:rsidP="001B56CF">
      <w:pPr>
        <w:pStyle w:val="ListParagraph"/>
        <w:spacing w:line="240" w:lineRule="auto"/>
        <w:rPr>
          <w:b/>
        </w:rPr>
      </w:pPr>
      <w:r w:rsidRPr="0093466E">
        <w:rPr>
          <w:b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w:bookmarkEnd w:id="36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74C8C4B" w14:textId="60575591" w:rsidR="009E13E4" w:rsidRDefault="009E13E4" w:rsidP="00202234">
      <w:pPr>
        <w:pStyle w:val="ListParagraph"/>
        <w:numPr>
          <w:ilvl w:val="0"/>
          <w:numId w:val="20"/>
        </w:numPr>
        <w:spacing w:line="240" w:lineRule="auto"/>
      </w:pPr>
      <w:bookmarkStart w:id="38" w:name="_Ref508199363"/>
      <w:r>
        <w:t xml:space="preserve">Quantity </w:t>
      </w:r>
      <w:r w:rsidR="00467666">
        <w:t xml:space="preserve">before firm </w:t>
      </w:r>
      <w:r w:rsidR="00B5581A">
        <w:t>closure is given by (</w:t>
      </w:r>
      <w:r w:rsidR="00B5581A">
        <w:fldChar w:fldCharType="begin"/>
      </w:r>
      <w:r w:rsidR="00B5581A">
        <w:instrText xml:space="preserve"> REF _Ref508198563 \r \h </w:instrText>
      </w:r>
      <w:r w:rsidR="00B5581A">
        <w:fldChar w:fldCharType="separate"/>
      </w:r>
      <w:r w:rsidR="001B237C">
        <w:t>9</w:t>
      </w:r>
      <w:r w:rsidR="00B5581A">
        <w:fldChar w:fldCharType="end"/>
      </w:r>
      <w:r w:rsidR="00B5581A">
        <w:t xml:space="preserve">) and </w:t>
      </w:r>
      <w:r w:rsidR="00C4015A" w:rsidRPr="00C4015A">
        <w:t>(</w:t>
      </w:r>
      <w:r w:rsidR="00C4015A" w:rsidRPr="00C4015A">
        <w:fldChar w:fldCharType="begin"/>
      </w:r>
      <w:r w:rsidR="00C4015A" w:rsidRPr="00C4015A">
        <w:instrText xml:space="preserve"> REF _Ref508200837 \r \h </w:instrText>
      </w:r>
      <w:r w:rsidR="00C4015A">
        <w:instrText xml:space="preserve"> \* MERGEFORMAT </w:instrText>
      </w:r>
      <w:r w:rsidR="00C4015A" w:rsidRPr="00C4015A">
        <w:fldChar w:fldCharType="separate"/>
      </w:r>
      <w:r w:rsidR="001B237C">
        <w:t>17</w:t>
      </w:r>
      <w:r w:rsidR="00C4015A" w:rsidRPr="00C4015A">
        <w:fldChar w:fldCharType="end"/>
      </w:r>
      <w:r w:rsidR="00C4015A" w:rsidRPr="00C4015A">
        <w:t>)</w:t>
      </w:r>
      <w:r w:rsidR="00B5581A" w:rsidRPr="00C4015A">
        <w:t xml:space="preserve"> in the previous period</w:t>
      </w:r>
      <w:r w:rsidR="0036349A" w:rsidRPr="00C4015A">
        <w:t>:</w:t>
      </w:r>
      <w:r w:rsidR="00A467E5" w:rsidRPr="00C4015A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i,pre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den>
              </m:f>
            </m:e>
          </m:d>
          <w:bookmarkEnd w:id="38"/>
          <m:r>
            <m:rPr>
              <m:sty m:val="p"/>
            </m:rPr>
            <w:br/>
          </m:r>
        </m:oMath>
      </m:oMathPara>
    </w:p>
    <w:p w14:paraId="793E3371" w14:textId="38A47D2E" w:rsidR="009E13E4" w:rsidRDefault="002B670E" w:rsidP="00202234">
      <w:pPr>
        <w:pStyle w:val="ListParagraph"/>
        <w:numPr>
          <w:ilvl w:val="0"/>
          <w:numId w:val="20"/>
        </w:numPr>
        <w:spacing w:line="240" w:lineRule="auto"/>
      </w:pPr>
      <w:r>
        <w:t xml:space="preserve">Market </w:t>
      </w:r>
      <w:r w:rsidR="009E13E4">
        <w:t>quantity pre-closure</w:t>
      </w:r>
      <w:r w:rsidR="00FB7B0A">
        <w:t xml:space="preserve"> is the sum of (</w:t>
      </w:r>
      <w:r>
        <w:fldChar w:fldCharType="begin"/>
      </w:r>
      <w:r>
        <w:instrText xml:space="preserve"> REF _Ref508199363 \r \h </w:instrText>
      </w:r>
      <w:r>
        <w:fldChar w:fldCharType="separate"/>
      </w:r>
      <w:r w:rsidR="001B237C">
        <w:t>13</w:t>
      </w:r>
      <w:r>
        <w:fldChar w:fldCharType="end"/>
      </w:r>
      <w:r w:rsidR="00FB7B0A">
        <w:t>) over all companies in the market</w:t>
      </w:r>
      <w:r w:rsidR="00BF7334">
        <w:t>:</w:t>
      </w:r>
      <w:r w:rsidR="00BF7334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pre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i,pre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</w:p>
    <w:p w14:paraId="5D151143" w14:textId="5338FF2E" w:rsidR="00D2562F" w:rsidRDefault="0078226A" w:rsidP="00202234">
      <w:pPr>
        <w:pStyle w:val="ListParagraph"/>
        <w:numPr>
          <w:ilvl w:val="0"/>
          <w:numId w:val="20"/>
        </w:numPr>
        <w:spacing w:line="240" w:lineRule="auto"/>
      </w:pPr>
      <w:bookmarkStart w:id="39" w:name="_Ref508199895"/>
      <w:r>
        <w:t>Q</w:t>
      </w:r>
      <w:r w:rsidR="00955DA5">
        <w:t xml:space="preserve">uantity </w:t>
      </w:r>
      <w:r>
        <w:t xml:space="preserve">up for reallocation is </w:t>
      </w:r>
      <w:r w:rsidR="00B85616">
        <w:t>equal to (</w:t>
      </w:r>
      <w:r w:rsidR="00B85616">
        <w:fldChar w:fldCharType="begin"/>
      </w:r>
      <w:r w:rsidR="00B85616">
        <w:instrText xml:space="preserve"> REF _Ref508199363 \r \h </w:instrText>
      </w:r>
      <w:r w:rsidR="00B85616">
        <w:fldChar w:fldCharType="separate"/>
      </w:r>
      <w:r w:rsidR="001B237C">
        <w:t>13</w:t>
      </w:r>
      <w:r w:rsidR="00B85616">
        <w:fldChar w:fldCharType="end"/>
      </w:r>
      <w:r w:rsidR="00B85616">
        <w:t>) if a company makes a loss before firm closure and corporation tax (</w:t>
      </w:r>
      <w:r w:rsidR="00B85616">
        <w:fldChar w:fldCharType="begin"/>
      </w:r>
      <w:r w:rsidR="00B85616">
        <w:instrText xml:space="preserve"> REF _Ref508199660 \r \h </w:instrText>
      </w:r>
      <w:r w:rsidR="00B85616">
        <w:fldChar w:fldCharType="separate"/>
      </w:r>
      <w:r w:rsidR="001B237C">
        <w:t>12</w:t>
      </w:r>
      <w:r w:rsidR="00B85616">
        <w:fldChar w:fldCharType="end"/>
      </w:r>
      <w:r w:rsidR="00B85616">
        <w:t>), and is otherwise zero:</w:t>
      </w:r>
      <w:r w:rsidR="00B8561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REALLOCATED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if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i,pre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w:bookmarkEnd w:id="39"/>
          <m:r>
            <m:rPr>
              <m:sty m:val="p"/>
            </m:rPr>
            <w:br/>
          </m:r>
        </m:oMath>
      </m:oMathPara>
    </w:p>
    <w:p w14:paraId="06FF6F23" w14:textId="0AF2C201" w:rsidR="009E13E4" w:rsidRDefault="006F1418" w:rsidP="00202234">
      <w:pPr>
        <w:pStyle w:val="ListParagraph"/>
        <w:numPr>
          <w:ilvl w:val="0"/>
          <w:numId w:val="20"/>
        </w:numPr>
        <w:spacing w:line="240" w:lineRule="auto"/>
      </w:pPr>
      <w:r>
        <w:t xml:space="preserve">Market </w:t>
      </w:r>
      <w:r w:rsidR="009E13E4">
        <w:t xml:space="preserve">quantity </w:t>
      </w:r>
      <w:r w:rsidR="00DD07DD">
        <w:t>up for reallocation is the sum of (</w:t>
      </w:r>
      <w:r w:rsidR="00DD07DD">
        <w:fldChar w:fldCharType="begin"/>
      </w:r>
      <w:r w:rsidR="00DD07DD">
        <w:instrText xml:space="preserve"> REF _Ref508199895 \r \h </w:instrText>
      </w:r>
      <w:r w:rsidR="00DD07DD">
        <w:fldChar w:fldCharType="separate"/>
      </w:r>
      <w:r w:rsidR="001B237C">
        <w:t>15</w:t>
      </w:r>
      <w:r w:rsidR="00DD07DD">
        <w:fldChar w:fldCharType="end"/>
      </w:r>
      <w:r w:rsidR="00DD07DD">
        <w:t>) over all companies in the market:</w:t>
      </w:r>
      <w:r w:rsidR="00DD07DD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REALLOCATED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REALLOCATED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CEF14B0" w14:textId="11D02271" w:rsidR="009E13E4" w:rsidRDefault="009E13E4" w:rsidP="00202234">
      <w:pPr>
        <w:pStyle w:val="ListParagraph"/>
        <w:numPr>
          <w:ilvl w:val="0"/>
          <w:numId w:val="20"/>
        </w:numPr>
        <w:spacing w:line="240" w:lineRule="auto"/>
      </w:pPr>
      <w:bookmarkStart w:id="40" w:name="_Ref508200837"/>
      <w:r>
        <w:t xml:space="preserve">Quantity </w:t>
      </w:r>
      <w:r w:rsidR="00AB5BBA">
        <w:t>after</w:t>
      </w:r>
      <w:r>
        <w:t>-</w:t>
      </w:r>
      <w:r w:rsidR="00D248A7">
        <w:t xml:space="preserve">firm </w:t>
      </w:r>
      <w:r>
        <w:t>closure</w:t>
      </w:r>
      <w:r w:rsidR="00D248A7">
        <w:t xml:space="preserve"> is given by (12)</w:t>
      </w:r>
      <w:r w:rsidR="00481189">
        <w:t>, plus the company’s share of any reallocated quantity</w:t>
      </w:r>
      <w:r w:rsidR="002F5B43">
        <w:t xml:space="preserve">. Note the 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Q reall.</m:t>
            </m:r>
          </m:sub>
        </m:sSub>
      </m:oMath>
      <w:r w:rsidR="002F5B43">
        <w:rPr>
          <w:rFonts w:eastAsiaTheme="minorEastAsia"/>
        </w:rPr>
        <w:t xml:space="preserve">, the proportion of quantity reallocated parameter, and the fact that </w:t>
      </w:r>
      <w:r w:rsidR="00A17673">
        <w:rPr>
          <w:rFonts w:eastAsiaTheme="minorEastAsia"/>
        </w:rPr>
        <w:t xml:space="preserve">quantity post-firm closure is 0 if </w:t>
      </w:r>
      <w:r w:rsidR="00E064D4">
        <w:t xml:space="preserve">the firm </w:t>
      </w:r>
      <w:r w:rsidR="00A17673">
        <w:t xml:space="preserve">makes </w:t>
      </w:r>
      <w:r w:rsidR="00E064D4">
        <w:t>a loss before firm closure and corporation tax (</w:t>
      </w:r>
      <w:r w:rsidR="00E064D4">
        <w:fldChar w:fldCharType="begin"/>
      </w:r>
      <w:r w:rsidR="00E064D4">
        <w:instrText xml:space="preserve"> REF _Ref508199660 \r \h </w:instrText>
      </w:r>
      <w:r w:rsidR="00E064D4">
        <w:fldChar w:fldCharType="separate"/>
      </w:r>
      <w:r w:rsidR="001B237C">
        <w:t>12</w:t>
      </w:r>
      <w:r w:rsidR="00E064D4">
        <w:fldChar w:fldCharType="end"/>
      </w:r>
      <w:r w:rsidR="00E064D4">
        <w:t>):</w:t>
      </w:r>
      <w:r w:rsidR="00C01393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 pre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 reall.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×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i,pre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REALLOCATED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                                 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  <w:bookmarkEnd w:id="40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2F29C52" w14:textId="7DA6B8A7" w:rsidR="00907F03" w:rsidRDefault="00907F03" w:rsidP="00202234">
      <w:pPr>
        <w:pStyle w:val="ListParagraph"/>
        <w:numPr>
          <w:ilvl w:val="0"/>
          <w:numId w:val="20"/>
        </w:numPr>
        <w:spacing w:line="240" w:lineRule="auto"/>
      </w:pPr>
      <w:bookmarkStart w:id="41" w:name="_Ref508204485"/>
      <w:r>
        <w:t xml:space="preserve">Market quantity </w:t>
      </w:r>
      <w:r w:rsidR="00AB5BBA">
        <w:t>after firm closure</w:t>
      </w:r>
      <w:r w:rsidR="00556181">
        <w:t xml:space="preserve"> is equal to the sum of (</w:t>
      </w:r>
      <w:r w:rsidR="00556181">
        <w:fldChar w:fldCharType="begin"/>
      </w:r>
      <w:r w:rsidR="00556181">
        <w:instrText xml:space="preserve"> REF _Ref508200837 \r \h </w:instrText>
      </w:r>
      <w:r w:rsidR="00556181">
        <w:fldChar w:fldCharType="separate"/>
      </w:r>
      <w:r w:rsidR="001B237C">
        <w:t>17</w:t>
      </w:r>
      <w:r w:rsidR="00556181">
        <w:fldChar w:fldCharType="end"/>
      </w:r>
      <w:r w:rsidR="00556181">
        <w:t>) over all companies in the market:</w:t>
      </w:r>
      <w:r w:rsidR="00556181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w:bookmarkEnd w:id="41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10A4275" w14:textId="240B1277" w:rsidR="009F650B" w:rsidRDefault="009F650B" w:rsidP="00202234">
      <w:pPr>
        <w:pStyle w:val="ListParagraph"/>
        <w:numPr>
          <w:ilvl w:val="0"/>
          <w:numId w:val="20"/>
        </w:numPr>
        <w:spacing w:line="240" w:lineRule="auto"/>
      </w:pPr>
      <w:bookmarkStart w:id="42" w:name="_Ref508205158"/>
      <w:r>
        <w:t>Market share after firm closure is given by the ratio of (</w:t>
      </w:r>
      <w:r w:rsidR="00DD5925">
        <w:fldChar w:fldCharType="begin"/>
      </w:r>
      <w:r w:rsidR="00DD5925">
        <w:instrText xml:space="preserve"> REF _Ref508200837 \r \h </w:instrText>
      </w:r>
      <w:r w:rsidR="00DD5925">
        <w:fldChar w:fldCharType="separate"/>
      </w:r>
      <w:r w:rsidR="001B237C">
        <w:t>17</w:t>
      </w:r>
      <w:r w:rsidR="00DD5925">
        <w:fldChar w:fldCharType="end"/>
      </w:r>
      <w:r>
        <w:t>) to (</w:t>
      </w:r>
      <w:r w:rsidR="00DD5925">
        <w:fldChar w:fldCharType="begin"/>
      </w:r>
      <w:r w:rsidR="00DD5925">
        <w:instrText xml:space="preserve"> REF _Ref508204485 \r \h </w:instrText>
      </w:r>
      <w:r w:rsidR="00DD5925">
        <w:fldChar w:fldCharType="separate"/>
      </w:r>
      <w:r w:rsidR="001B237C">
        <w:t>18</w:t>
      </w:r>
      <w:r w:rsidR="00DD5925">
        <w:fldChar w:fldCharType="end"/>
      </w:r>
      <w:r>
        <w:t>) for each company in the market: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w:bookmarkEnd w:id="42"/>
          <m:r>
            <m:rPr>
              <m:sty m:val="p"/>
            </m:rPr>
            <w:br/>
          </m:r>
        </m:oMath>
      </m:oMathPara>
    </w:p>
    <w:p w14:paraId="07CC022C" w14:textId="5E9406C5" w:rsidR="009E13E4" w:rsidRPr="009C49E0" w:rsidRDefault="009E13E4" w:rsidP="00202234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bookmarkStart w:id="43" w:name="_Ref508201835"/>
      <w:r w:rsidRPr="009C49E0">
        <w:rPr>
          <w:b/>
        </w:rPr>
        <w:t xml:space="preserve">Profit </w:t>
      </w:r>
      <w:r w:rsidR="005222D6" w:rsidRPr="009C49E0">
        <w:rPr>
          <w:b/>
        </w:rPr>
        <w:t xml:space="preserve">after firm </w:t>
      </w:r>
      <w:r w:rsidRPr="009C49E0">
        <w:rPr>
          <w:b/>
        </w:rPr>
        <w:t xml:space="preserve">closure </w:t>
      </w:r>
      <w:r w:rsidR="005222D6" w:rsidRPr="009C49E0">
        <w:rPr>
          <w:b/>
        </w:rPr>
        <w:t xml:space="preserve">but before corporation </w:t>
      </w:r>
      <w:r w:rsidRPr="009C49E0">
        <w:rPr>
          <w:b/>
        </w:rPr>
        <w:t>tax</w:t>
      </w:r>
      <w:r w:rsidR="006C0DC5">
        <w:rPr>
          <w:b/>
        </w:rPr>
        <w:t xml:space="preserve"> </w:t>
      </w:r>
      <w:r w:rsidR="006C0DC5">
        <w:t xml:space="preserve">is profit before firm closure and before corporation tax, </w:t>
      </w:r>
      <w:r w:rsidR="00AB5BBA">
        <w:t>multiplied by the ratio of firm quantity after closure to firm quantity before closure. Note that the ratio will be zero in the case where profit before closure is negative.</w:t>
      </w:r>
      <w:r w:rsidR="0084606D">
        <w:t xml:space="preserve"> This uses (</w:t>
      </w:r>
      <w:r w:rsidR="0084606D">
        <w:fldChar w:fldCharType="begin"/>
      </w:r>
      <w:r w:rsidR="0084606D">
        <w:instrText xml:space="preserve"> REF _Ref508201527 \r \h </w:instrText>
      </w:r>
      <w:r w:rsidR="0084606D">
        <w:fldChar w:fldCharType="separate"/>
      </w:r>
      <w:r w:rsidR="001B237C">
        <w:t>12</w:t>
      </w:r>
      <w:r w:rsidR="0084606D">
        <w:fldChar w:fldCharType="end"/>
      </w:r>
      <w:r w:rsidR="0084606D">
        <w:t>), (</w:t>
      </w:r>
      <w:r w:rsidR="0084606D">
        <w:fldChar w:fldCharType="begin"/>
      </w:r>
      <w:r w:rsidR="0084606D">
        <w:instrText xml:space="preserve"> REF _Ref508199363 \r \h </w:instrText>
      </w:r>
      <w:r w:rsidR="0084606D">
        <w:fldChar w:fldCharType="separate"/>
      </w:r>
      <w:r w:rsidR="001B237C">
        <w:t>13</w:t>
      </w:r>
      <w:r w:rsidR="0084606D">
        <w:fldChar w:fldCharType="end"/>
      </w:r>
      <w:r w:rsidR="0084606D">
        <w:t>), and (</w:t>
      </w:r>
      <w:r w:rsidR="0084606D">
        <w:fldChar w:fldCharType="begin"/>
      </w:r>
      <w:r w:rsidR="0084606D">
        <w:instrText xml:space="preserve"> REF _Ref508200837 \r \h </w:instrText>
      </w:r>
      <w:r w:rsidR="0084606D">
        <w:fldChar w:fldCharType="separate"/>
      </w:r>
      <w:r w:rsidR="001B237C">
        <w:t>17</w:t>
      </w:r>
      <w:r w:rsidR="0084606D">
        <w:fldChar w:fldCharType="end"/>
      </w:r>
      <w:r w:rsidR="0084606D">
        <w:t>).</w:t>
      </w:r>
      <w:r w:rsidR="00553DF5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i,pre</m:t>
                  </m:r>
                </m:sub>
              </m:sSub>
            </m:den>
          </m:f>
          <w:bookmarkEnd w:id="43"/>
          <m:r>
            <m:rPr>
              <m:sty m:val="p"/>
            </m:rPr>
            <w:br/>
          </m:r>
        </m:oMath>
      </m:oMathPara>
    </w:p>
    <w:p w14:paraId="212ED534" w14:textId="63E00484" w:rsidR="00394BFA" w:rsidRDefault="00394BFA" w:rsidP="00202234">
      <w:pPr>
        <w:pStyle w:val="ListParagraph"/>
        <w:numPr>
          <w:ilvl w:val="0"/>
          <w:numId w:val="20"/>
        </w:numPr>
        <w:spacing w:line="240" w:lineRule="auto"/>
      </w:pPr>
      <w:bookmarkStart w:id="44" w:name="_Ref508213918"/>
      <w:r>
        <w:t>Market profit after firm closure but before corporation tax is the sum of (20) over firms: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br/>
          </m:r>
        </m:oMath>
      </m:oMathPara>
    </w:p>
    <w:p w14:paraId="523D851A" w14:textId="123D39A4" w:rsidR="00557BAF" w:rsidRDefault="00492719" w:rsidP="00202234">
      <w:pPr>
        <w:pStyle w:val="ListParagraph"/>
        <w:numPr>
          <w:ilvl w:val="0"/>
          <w:numId w:val="20"/>
        </w:numPr>
        <w:spacing w:line="240" w:lineRule="auto"/>
      </w:pPr>
      <w:bookmarkStart w:id="45" w:name="_Ref508295889"/>
      <w:r>
        <w:t>Price</w:t>
      </w:r>
      <w:r w:rsidR="00DF794E">
        <w:t xml:space="preserve"> can be calculated based on price in the previous period (</w:t>
      </w:r>
      <w:r w:rsidR="00DF794E">
        <w:fldChar w:fldCharType="begin"/>
      </w:r>
      <w:r w:rsidR="00DF794E">
        <w:instrText xml:space="preserve"> REF _Ref508201835 \r \h </w:instrText>
      </w:r>
      <w:r w:rsidR="00DF794E">
        <w:fldChar w:fldCharType="separate"/>
      </w:r>
      <w:r w:rsidR="001B237C">
        <w:t>20</w:t>
      </w:r>
      <w:r w:rsidR="00DF794E">
        <w:fldChar w:fldCharType="end"/>
      </w:r>
      <w:r w:rsidR="00DF794E">
        <w:t>), change in industry average unit cost</w:t>
      </w:r>
      <w:r w:rsidR="00D33828">
        <w:t xml:space="preserve"> (</w:t>
      </w:r>
      <w:r w:rsidR="00C6316E">
        <w:fldChar w:fldCharType="begin"/>
      </w:r>
      <w:r w:rsidR="00C6316E">
        <w:instrText xml:space="preserve"> REF _Ref508209967 \r \h </w:instrText>
      </w:r>
      <w:r w:rsidR="00C6316E">
        <w:fldChar w:fldCharType="separate"/>
      </w:r>
      <w:r w:rsidR="001B237C">
        <w:t>2</w:t>
      </w:r>
      <w:r w:rsidR="00C6316E">
        <w:fldChar w:fldCharType="end"/>
      </w:r>
      <w:r w:rsidR="00D33828">
        <w:t>) and number of firms (</w:t>
      </w:r>
      <w:r w:rsidR="00C6316E">
        <w:fldChar w:fldCharType="begin"/>
      </w:r>
      <w:r w:rsidR="00C6316E">
        <w:instrText xml:space="preserve"> REF _Ref508210590 \r \h </w:instrText>
      </w:r>
      <w:r w:rsidR="00C6316E">
        <w:fldChar w:fldCharType="separate"/>
      </w:r>
      <w:r w:rsidR="001B237C">
        <w:t>4</w:t>
      </w:r>
      <w:r w:rsidR="00C6316E">
        <w:fldChar w:fldCharType="end"/>
      </w:r>
      <w:r w:rsidR="00D33828">
        <w:t>):</w:t>
      </w:r>
      <w:r w:rsidR="00994C4B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t-1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θ-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den>
          </m:f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</m:t>
                      </m:r>
                    </m:e>
                  </m:d>
                  <m:r>
                    <w:rPr>
                      <w:rFonts w:ascii="Cambria Math" w:hAnsi="Cambria Math"/>
                    </w:rPr>
                    <m:t>+(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d>
          <w:bookmarkEnd w:id="44"/>
          <w:bookmarkEnd w:id="45"/>
          <m:r>
            <m:rPr>
              <m:sty m:val="p"/>
            </m:rPr>
            <w:br/>
          </m:r>
        </m:oMath>
      </m:oMathPara>
    </w:p>
    <w:p w14:paraId="31683C93" w14:textId="3DA26E5C" w:rsidR="00492719" w:rsidRDefault="00A03E1B" w:rsidP="00202234">
      <w:pPr>
        <w:pStyle w:val="ListParagraph"/>
        <w:numPr>
          <w:ilvl w:val="0"/>
          <w:numId w:val="20"/>
        </w:numPr>
        <w:spacing w:line="240" w:lineRule="auto"/>
      </w:pPr>
      <w:bookmarkStart w:id="46" w:name="_Ref508214255"/>
      <w:r>
        <w:t>Revenue is then given as the product of quantity after firm closure (</w:t>
      </w:r>
      <w:r w:rsidR="00A749B5">
        <w:fldChar w:fldCharType="begin"/>
      </w:r>
      <w:r w:rsidR="00A749B5">
        <w:instrText xml:space="preserve"> REF _Ref508200837 \r \h </w:instrText>
      </w:r>
      <w:r w:rsidR="00A749B5">
        <w:fldChar w:fldCharType="separate"/>
      </w:r>
      <w:r w:rsidR="001B237C">
        <w:t>17</w:t>
      </w:r>
      <w:r w:rsidR="00A749B5">
        <w:fldChar w:fldCharType="end"/>
      </w:r>
      <w:r w:rsidR="00A749B5">
        <w:t>) and price (</w:t>
      </w:r>
      <w:r w:rsidR="00A749B5">
        <w:fldChar w:fldCharType="begin"/>
      </w:r>
      <w:r w:rsidR="00A749B5">
        <w:instrText xml:space="preserve"> REF _Ref508213918 \r \h </w:instrText>
      </w:r>
      <w:r w:rsidR="00A749B5">
        <w:fldChar w:fldCharType="separate"/>
      </w:r>
      <w:r w:rsidR="001B237C">
        <w:t>21</w:t>
      </w:r>
      <w:r w:rsidR="00A749B5">
        <w:fldChar w:fldCharType="end"/>
      </w:r>
      <w:r w:rsidR="00A749B5">
        <w:t>)</w:t>
      </w:r>
      <w:r w:rsidR="00967B9B">
        <w:t>:</w:t>
      </w:r>
      <w:r w:rsidR="00967B9B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w:bookmarkEnd w:id="46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DE795F3" w14:textId="0E4A1FBE" w:rsidR="00801D54" w:rsidRDefault="00801D54" w:rsidP="00202234">
      <w:pPr>
        <w:pStyle w:val="ListParagraph"/>
        <w:numPr>
          <w:ilvl w:val="0"/>
          <w:numId w:val="20"/>
        </w:numPr>
        <w:spacing w:line="240" w:lineRule="auto"/>
      </w:pPr>
      <w:r>
        <w:t>Market revenue is equal to the sum of (</w:t>
      </w:r>
      <w:r w:rsidR="00CE3F3E">
        <w:fldChar w:fldCharType="begin"/>
      </w:r>
      <w:r w:rsidR="00CE3F3E">
        <w:instrText xml:space="preserve"> REF _Ref508214255 \r \h </w:instrText>
      </w:r>
      <w:r w:rsidR="00CE3F3E">
        <w:fldChar w:fldCharType="separate"/>
      </w:r>
      <w:r w:rsidR="001B237C">
        <w:t>23</w:t>
      </w:r>
      <w:r w:rsidR="00CE3F3E">
        <w:fldChar w:fldCharType="end"/>
      </w:r>
      <w:r>
        <w:t>) over all companies in the market: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DAC5D26" w14:textId="6FA40E35" w:rsidR="00492719" w:rsidRDefault="00A438F2" w:rsidP="00202234">
      <w:pPr>
        <w:pStyle w:val="ListParagraph"/>
        <w:numPr>
          <w:ilvl w:val="0"/>
          <w:numId w:val="20"/>
        </w:numPr>
        <w:spacing w:line="240" w:lineRule="auto"/>
      </w:pPr>
      <w:bookmarkStart w:id="47" w:name="_Ref508214559"/>
      <w:commentRangeStart w:id="48"/>
      <w:r>
        <w:t>Company p</w:t>
      </w:r>
      <w:r w:rsidR="00492719">
        <w:t>rofit margin</w:t>
      </w:r>
      <w:r>
        <w:t xml:space="preserve">s are given by </w:t>
      </w:r>
      <w:r w:rsidR="00131BE5">
        <w:t>profit after firm closure but before corporation tax (</w:t>
      </w:r>
      <w:r w:rsidR="00131BE5">
        <w:fldChar w:fldCharType="begin"/>
      </w:r>
      <w:r w:rsidR="00131BE5">
        <w:instrText xml:space="preserve"> REF _Ref508201835 \r \h </w:instrText>
      </w:r>
      <w:r w:rsidR="00131BE5">
        <w:fldChar w:fldCharType="separate"/>
      </w:r>
      <w:r w:rsidR="001B237C">
        <w:t>20</w:t>
      </w:r>
      <w:r w:rsidR="00131BE5">
        <w:fldChar w:fldCharType="end"/>
      </w:r>
      <w:r w:rsidR="00131BE5">
        <w:t>) divided by revenue (</w:t>
      </w:r>
      <w:r w:rsidR="00131BE5">
        <w:fldChar w:fldCharType="begin"/>
      </w:r>
      <w:r w:rsidR="00131BE5">
        <w:instrText xml:space="preserve"> REF _Ref508214255 \r \h </w:instrText>
      </w:r>
      <w:r w:rsidR="00131BE5">
        <w:fldChar w:fldCharType="separate"/>
      </w:r>
      <w:r w:rsidR="001B237C">
        <w:t>23</w:t>
      </w:r>
      <w:r w:rsidR="00131BE5">
        <w:fldChar w:fldCharType="end"/>
      </w:r>
      <w:r w:rsidR="00131BE5">
        <w:t>)</w:t>
      </w:r>
      <w:r w:rsidR="00C04D5C">
        <w:t>:</w:t>
      </w:r>
      <w:r w:rsidR="00F06687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w:commentRangeEnd w:id="48"/>
          <m:r>
            <m:rPr>
              <m:sty m:val="p"/>
            </m:rPr>
            <w:rPr>
              <w:rStyle w:val="CommentReference"/>
            </w:rPr>
            <w:commentReference w:id="48"/>
          </m:r>
          <w:bookmarkEnd w:id="47"/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20AC161" w14:textId="17A0AD61" w:rsidR="00F4459D" w:rsidRPr="00EF5A0E" w:rsidRDefault="00B82DCB" w:rsidP="002408E9">
      <w:pPr>
        <w:pStyle w:val="ListParagraph"/>
        <w:numPr>
          <w:ilvl w:val="0"/>
          <w:numId w:val="20"/>
        </w:numPr>
        <w:spacing w:line="240" w:lineRule="auto"/>
      </w:pPr>
      <w:bookmarkStart w:id="49" w:name="_Ref508214764"/>
      <w:r>
        <w:t>Industry average emissions intensity</w:t>
      </w:r>
      <w:r w:rsidR="0041109F">
        <w:t xml:space="preserve"> is given by the sum product of </w:t>
      </w:r>
      <w:r w:rsidR="00C04D5C">
        <w:t>market share (</w:t>
      </w:r>
      <w:r w:rsidR="00C04D5C">
        <w:fldChar w:fldCharType="begin"/>
      </w:r>
      <w:r w:rsidR="00C04D5C">
        <w:instrText xml:space="preserve"> REF _Ref508205158 \r \h </w:instrText>
      </w:r>
      <w:r w:rsidR="00C04D5C">
        <w:fldChar w:fldCharType="separate"/>
      </w:r>
      <w:r w:rsidR="001B237C">
        <w:t>19</w:t>
      </w:r>
      <w:r w:rsidR="00C04D5C">
        <w:fldChar w:fldCharType="end"/>
      </w:r>
      <w:r w:rsidR="00C04D5C">
        <w:t>) and firm level emissions intensity, which is constant over time:</w:t>
      </w:r>
      <w:r w:rsidR="00B628BA"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Emissions intensity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  <w:bookmarkEnd w:id="49"/>
    </w:p>
    <w:p w14:paraId="511C64E3" w14:textId="15660672" w:rsidR="00EF5A0E" w:rsidRPr="00A86FCA" w:rsidRDefault="00EF5A0E" w:rsidP="00EF5A0E">
      <w:pPr>
        <w:spacing w:line="240" w:lineRule="auto"/>
      </w:pPr>
    </w:p>
    <w:p w14:paraId="2A0228DB" w14:textId="1DDA107E" w:rsidR="00B552FA" w:rsidRDefault="00550B7F" w:rsidP="00550B7F">
      <w:pPr>
        <w:pStyle w:val="Heading3"/>
      </w:pPr>
      <w:bookmarkStart w:id="50" w:name="_Ref508287376"/>
      <w:r>
        <w:lastRenderedPageBreak/>
        <w:t xml:space="preserve">Cost pass through </w:t>
      </w:r>
      <w:commentRangeStart w:id="51"/>
      <w:r>
        <w:t>rate</w:t>
      </w:r>
      <w:bookmarkEnd w:id="50"/>
      <w:commentRangeEnd w:id="51"/>
      <w:r w:rsidR="005E438C">
        <w:rPr>
          <w:rStyle w:val="CommentReference"/>
          <w:rFonts w:cstheme="minorBidi"/>
          <w:b w:val="0"/>
        </w:rPr>
        <w:commentReference w:id="51"/>
      </w:r>
    </w:p>
    <w:p w14:paraId="160DEE84" w14:textId="6119A433" w:rsidR="00107F38" w:rsidRDefault="00A427DB" w:rsidP="00107F38">
      <w:r>
        <w:rPr>
          <w:b/>
        </w:rPr>
        <w:t>The cost pass through rate is a key feature of the firm-level margin and reflects observed real-world differences in the ability of firms to pass on cost increases.</w:t>
      </w:r>
      <w:r w:rsidR="004A6DD1">
        <w:t xml:space="preserve"> Climate scenario-based c</w:t>
      </w:r>
      <w:r w:rsidR="00107F38">
        <w:t xml:space="preserve">ash flow </w:t>
      </w:r>
      <w:r w:rsidR="004A6DD1">
        <w:t xml:space="preserve">analysis </w:t>
      </w:r>
      <w:r w:rsidR="00107F38">
        <w:t>which omit</w:t>
      </w:r>
      <w:r w:rsidR="004A6DD1">
        <w:t>s</w:t>
      </w:r>
      <w:r w:rsidR="00107F38">
        <w:t xml:space="preserve"> </w:t>
      </w:r>
      <w:r w:rsidR="004A6DD1">
        <w:t>cost pass through rates</w:t>
      </w:r>
      <w:r w:rsidR="00107F38">
        <w:t xml:space="preserve"> lead to uninformative model results:</w:t>
      </w:r>
    </w:p>
    <w:p w14:paraId="2F83F6E6" w14:textId="77777777" w:rsidR="00107F38" w:rsidRDefault="00107F38" w:rsidP="00107F38">
      <w:pPr>
        <w:pStyle w:val="ListParagraph"/>
        <w:numPr>
          <w:ilvl w:val="0"/>
          <w:numId w:val="18"/>
        </w:numPr>
      </w:pPr>
      <w:r>
        <w:t>Carbon pricing raises unit costs in proportion to the emissions intensity of production;</w:t>
      </w:r>
    </w:p>
    <w:p w14:paraId="74A3B130" w14:textId="77777777" w:rsidR="00107F38" w:rsidRDefault="00107F38" w:rsidP="00107F38">
      <w:pPr>
        <w:pStyle w:val="ListParagraph"/>
        <w:numPr>
          <w:ilvl w:val="0"/>
          <w:numId w:val="18"/>
        </w:numPr>
      </w:pPr>
      <w:r>
        <w:t>Naïve estimates based on this reasoning alone will overstate profit impacts as companies can pass on some of the cost increase to consumers;</w:t>
      </w:r>
    </w:p>
    <w:p w14:paraId="46D18442" w14:textId="77777777" w:rsidR="00107F38" w:rsidRDefault="00107F38" w:rsidP="00107F38">
      <w:pPr>
        <w:pStyle w:val="ListParagraph"/>
        <w:numPr>
          <w:ilvl w:val="0"/>
          <w:numId w:val="18"/>
        </w:numPr>
      </w:pPr>
      <w:r>
        <w:t>Explicit modelling of company cost pass through rates, which change over time, helps alleviate this problem;</w:t>
      </w:r>
    </w:p>
    <w:p w14:paraId="7F1A5E39" w14:textId="4C20B55A" w:rsidR="001B43A0" w:rsidRDefault="00127C03" w:rsidP="00107F38">
      <w:pPr>
        <w:pStyle w:val="ListParagraph"/>
        <w:numPr>
          <w:ilvl w:val="0"/>
          <w:numId w:val="18"/>
        </w:numPr>
      </w:pPr>
      <w:r>
        <w:t>The cost pass through rate</w:t>
      </w:r>
      <w:r w:rsidR="0065037B">
        <w:t>, defined in (</w:t>
      </w:r>
      <w:r w:rsidR="0065037B">
        <w:fldChar w:fldCharType="begin"/>
      </w:r>
      <w:r w:rsidR="0065037B">
        <w:instrText xml:space="preserve"> REF _Ref508197160 \r \h </w:instrText>
      </w:r>
      <w:r w:rsidR="0065037B">
        <w:fldChar w:fldCharType="separate"/>
      </w:r>
      <w:r w:rsidR="0065037B">
        <w:t>6</w:t>
      </w:r>
      <w:r w:rsidR="0065037B">
        <w:fldChar w:fldCharType="end"/>
      </w:r>
      <w:r w:rsidR="0065037B">
        <w:t>)</w:t>
      </w:r>
      <w:r w:rsidR="00107F38">
        <w:t xml:space="preserve"> depend</w:t>
      </w:r>
      <w:r>
        <w:t>s</w:t>
      </w:r>
      <w:r w:rsidR="00107F38">
        <w:t xml:space="preserve"> on a number of parameters, which vary by industrial </w:t>
      </w:r>
      <w:r w:rsidR="00B05D3A">
        <w:t xml:space="preserve">sector </w:t>
      </w:r>
      <w:r w:rsidR="00107F38">
        <w:t>and region:</w:t>
      </w:r>
    </w:p>
    <w:p w14:paraId="74E01A89" w14:textId="13824A68" w:rsidR="005C0F89" w:rsidRDefault="005C0F89" w:rsidP="005C0F89">
      <w:pPr>
        <w:pStyle w:val="ListParagraph"/>
        <w:numPr>
          <w:ilvl w:val="1"/>
          <w:numId w:val="18"/>
        </w:numPr>
      </w:pPr>
      <w:r>
        <w:t>carbon intensity</w:t>
      </w:r>
    </w:p>
    <w:p w14:paraId="1C57716B" w14:textId="686F26BB" w:rsidR="001B43A0" w:rsidRDefault="00107F38" w:rsidP="001B43A0">
      <w:pPr>
        <w:pStyle w:val="ListParagraph"/>
        <w:numPr>
          <w:ilvl w:val="1"/>
          <w:numId w:val="18"/>
        </w:numPr>
      </w:pPr>
      <w:r>
        <w:t>number of firms</w:t>
      </w:r>
    </w:p>
    <w:p w14:paraId="128687E7" w14:textId="77777777" w:rsidR="001B43A0" w:rsidRDefault="00107F38" w:rsidP="001B43A0">
      <w:pPr>
        <w:pStyle w:val="ListParagraph"/>
        <w:numPr>
          <w:ilvl w:val="1"/>
          <w:numId w:val="18"/>
        </w:numPr>
      </w:pPr>
      <w:r>
        <w:t>degree of product differentiation</w:t>
      </w:r>
    </w:p>
    <w:p w14:paraId="19D2D52F" w14:textId="25C925EB" w:rsidR="00107F38" w:rsidRDefault="001B43A0" w:rsidP="001B43A0">
      <w:pPr>
        <w:pStyle w:val="ListParagraph"/>
        <w:numPr>
          <w:ilvl w:val="1"/>
          <w:numId w:val="18"/>
        </w:numPr>
      </w:pPr>
      <w:r>
        <w:t>degree of</w:t>
      </w:r>
      <w:r w:rsidR="00107F38">
        <w:t xml:space="preserve"> competiti</w:t>
      </w:r>
      <w:r>
        <w:t>veness in the industry</w:t>
      </w:r>
    </w:p>
    <w:p w14:paraId="0CC5A8E9" w14:textId="163C02DD" w:rsidR="00835BD3" w:rsidRDefault="00835BD3" w:rsidP="00835BD3"/>
    <w:p w14:paraId="6104A71D" w14:textId="01408D5D" w:rsidR="001211B8" w:rsidRDefault="001211B8" w:rsidP="00A46D95">
      <w:bookmarkStart w:id="52" w:name="OLE_LINK1"/>
      <w:bookmarkStart w:id="53" w:name="OLE_LINK2"/>
      <w:commentRangeStart w:id="54"/>
      <w:r w:rsidRPr="001211B8">
        <w:rPr>
          <w:b/>
        </w:rPr>
        <w:t xml:space="preserve">Cases which lead to high </w:t>
      </w:r>
      <w:r>
        <w:rPr>
          <w:b/>
        </w:rPr>
        <w:t xml:space="preserve">company-level </w:t>
      </w:r>
      <w:r w:rsidRPr="001211B8">
        <w:rPr>
          <w:b/>
        </w:rPr>
        <w:t>cost pass through rates</w:t>
      </w:r>
      <w:r w:rsidR="00B846F7">
        <w:rPr>
          <w:b/>
        </w:rPr>
        <w:t xml:space="preserve"> (</w:t>
      </w:r>
      <w:r w:rsidR="00B846F7">
        <w:rPr>
          <w:b/>
        </w:rPr>
        <w:fldChar w:fldCharType="begin"/>
      </w:r>
      <w:r w:rsidR="00B846F7">
        <w:rPr>
          <w:b/>
        </w:rPr>
        <w:instrText xml:space="preserve"> REF _Ref508197160 \r \h </w:instrText>
      </w:r>
      <w:r w:rsidR="00B846F7">
        <w:rPr>
          <w:b/>
        </w:rPr>
      </w:r>
      <w:r w:rsidR="00B846F7">
        <w:rPr>
          <w:b/>
        </w:rPr>
        <w:fldChar w:fldCharType="separate"/>
      </w:r>
      <w:r w:rsidR="00B846F7">
        <w:rPr>
          <w:b/>
        </w:rPr>
        <w:t>6</w:t>
      </w:r>
      <w:r w:rsidR="00B846F7">
        <w:rPr>
          <w:b/>
        </w:rPr>
        <w:fldChar w:fldCharType="end"/>
      </w:r>
      <w:r w:rsidR="00B846F7">
        <w:rPr>
          <w:b/>
        </w:rPr>
        <w:t>)</w:t>
      </w:r>
      <w:r w:rsidR="000F15BE">
        <w:rPr>
          <w:b/>
        </w:rPr>
        <w:t xml:space="preserve"> in the model</w:t>
      </w:r>
      <w:r w:rsidRPr="001211B8">
        <w:rPr>
          <w:b/>
        </w:rPr>
        <w:t>:</w:t>
      </w:r>
      <w:commentRangeEnd w:id="54"/>
      <w:r w:rsidR="0034269E">
        <w:rPr>
          <w:rStyle w:val="CommentReference"/>
        </w:rPr>
        <w:commentReference w:id="54"/>
      </w:r>
    </w:p>
    <w:p w14:paraId="77EC3705" w14:textId="33304A34" w:rsidR="00024A9B" w:rsidRDefault="002A7F7D" w:rsidP="001211B8">
      <w:pPr>
        <w:pStyle w:val="ListParagraph"/>
        <w:numPr>
          <w:ilvl w:val="0"/>
          <w:numId w:val="18"/>
        </w:numPr>
      </w:pPr>
      <w:r w:rsidRPr="002A7F7D">
        <w:rPr>
          <w:b/>
        </w:rPr>
        <w:t>L</w:t>
      </w:r>
      <w:r w:rsidR="005C0F89" w:rsidRPr="002A7F7D">
        <w:rPr>
          <w:b/>
        </w:rPr>
        <w:t>ow carbon intensity</w:t>
      </w:r>
      <w:r w:rsidR="005C0F89">
        <w:t xml:space="preserve"> relative to </w:t>
      </w:r>
      <w:r w:rsidR="00CD72B8">
        <w:t>the industry average</w:t>
      </w:r>
      <w:r w:rsidR="00B025E0">
        <w:t>:</w:t>
      </w:r>
    </w:p>
    <w:p w14:paraId="2DD87522" w14:textId="248E8420" w:rsidR="00024A9B" w:rsidRDefault="00511510" w:rsidP="00024A9B">
      <w:pPr>
        <w:pStyle w:val="ListParagraph"/>
        <w:numPr>
          <w:ilvl w:val="1"/>
          <w:numId w:val="18"/>
        </w:numPr>
      </w:pPr>
      <w:r>
        <w:t>Companies with low carbon intensity experience a small increase in unit cost due to carbon pricing compared to companies with high carbon intensity</w:t>
      </w:r>
      <w:r w:rsidR="00352478">
        <w:t>, for instance, E. ON</w:t>
      </w:r>
      <w:r w:rsidR="001148A6">
        <w:t>;</w:t>
      </w:r>
    </w:p>
    <w:p w14:paraId="5C127821" w14:textId="7A09E4FB" w:rsidR="00024A9B" w:rsidRDefault="00BC4695" w:rsidP="00024A9B">
      <w:pPr>
        <w:pStyle w:val="ListParagraph"/>
        <w:numPr>
          <w:ilvl w:val="1"/>
          <w:numId w:val="18"/>
        </w:numPr>
      </w:pPr>
      <w:commentRangeStart w:id="55"/>
      <w:r>
        <w:t xml:space="preserve">Such companies </w:t>
      </w:r>
      <w:r w:rsidR="00B47941">
        <w:t>can</w:t>
      </w:r>
      <w:r w:rsidR="006D4DDF">
        <w:t xml:space="preserve"> </w:t>
      </w:r>
      <w:r w:rsidR="00B47941">
        <w:t xml:space="preserve">pass through a </w:t>
      </w:r>
      <w:r w:rsidR="006D4DDF">
        <w:t xml:space="preserve">large </w:t>
      </w:r>
      <w:r w:rsidR="00B47941">
        <w:t xml:space="preserve">proportion of </w:t>
      </w:r>
      <w:r w:rsidR="00D149E3">
        <w:t xml:space="preserve">this </w:t>
      </w:r>
      <w:r w:rsidR="00D273EE">
        <w:t xml:space="preserve">small </w:t>
      </w:r>
      <w:r>
        <w:t xml:space="preserve">cost </w:t>
      </w:r>
      <w:r w:rsidR="00B47941">
        <w:t xml:space="preserve">increase without </w:t>
      </w:r>
      <w:r w:rsidR="00D273EE">
        <w:t xml:space="preserve">exceeding </w:t>
      </w:r>
      <w:r w:rsidR="00D149E3">
        <w:t>the market price</w:t>
      </w:r>
      <w:r w:rsidR="001148A6">
        <w:t>;</w:t>
      </w:r>
      <w:commentRangeEnd w:id="55"/>
      <w:r w:rsidR="005E687A">
        <w:rPr>
          <w:rStyle w:val="CommentReference"/>
        </w:rPr>
        <w:commentReference w:id="55"/>
      </w:r>
    </w:p>
    <w:p w14:paraId="354B3596" w14:textId="044978DA" w:rsidR="005C0F89" w:rsidRDefault="00097660" w:rsidP="00024A9B">
      <w:pPr>
        <w:pStyle w:val="ListParagraph"/>
        <w:numPr>
          <w:ilvl w:val="1"/>
          <w:numId w:val="18"/>
        </w:numPr>
      </w:pPr>
      <w:r>
        <w:t xml:space="preserve">By comparison, a company with high carbon intensity </w:t>
      </w:r>
      <w:r w:rsidR="00D273EE">
        <w:t xml:space="preserve">can </w:t>
      </w:r>
      <w:r>
        <w:t xml:space="preserve">pass through </w:t>
      </w:r>
      <w:r w:rsidR="00D273EE">
        <w:t>little of its large</w:t>
      </w:r>
      <w:r>
        <w:t xml:space="preserve"> </w:t>
      </w:r>
      <w:r w:rsidR="00D273EE">
        <w:t xml:space="preserve">increase in </w:t>
      </w:r>
      <w:r>
        <w:t xml:space="preserve">unit cost </w:t>
      </w:r>
      <w:r w:rsidR="00467033">
        <w:t xml:space="preserve">before it exceeds the </w:t>
      </w:r>
      <w:r>
        <w:t>market price</w:t>
      </w:r>
      <w:r w:rsidR="0038332E">
        <w:t>, for instance, RWE</w:t>
      </w:r>
      <w:r>
        <w:t>.</w:t>
      </w:r>
    </w:p>
    <w:p w14:paraId="20BD9C8B" w14:textId="6009E618" w:rsidR="001211B8" w:rsidRPr="00B025E0" w:rsidRDefault="00B025E0" w:rsidP="001211B8">
      <w:pPr>
        <w:pStyle w:val="ListParagraph"/>
        <w:numPr>
          <w:ilvl w:val="0"/>
          <w:numId w:val="18"/>
        </w:numPr>
      </w:pPr>
      <w:commentRangeStart w:id="56"/>
      <w:r>
        <w:rPr>
          <w:b/>
        </w:rPr>
        <w:t xml:space="preserve">More </w:t>
      </w:r>
      <w:r w:rsidR="001211B8" w:rsidRPr="005B089B">
        <w:rPr>
          <w:b/>
        </w:rPr>
        <w:t>firm</w:t>
      </w:r>
      <w:r>
        <w:rPr>
          <w:b/>
        </w:rPr>
        <w:t>s in the market</w:t>
      </w:r>
      <w:commentRangeEnd w:id="56"/>
      <w:r w:rsidR="00DC6CC0">
        <w:rPr>
          <w:rStyle w:val="CommentReference"/>
        </w:rPr>
        <w:commentReference w:id="56"/>
      </w:r>
      <w:r w:rsidR="00FC2180">
        <w:rPr>
          <w:b/>
        </w:rPr>
        <w:t>:</w:t>
      </w:r>
    </w:p>
    <w:p w14:paraId="3614C5A4" w14:textId="6244FC37" w:rsidR="00B025E0" w:rsidRDefault="00B025E0" w:rsidP="00056242">
      <w:pPr>
        <w:pStyle w:val="ListParagraph"/>
        <w:numPr>
          <w:ilvl w:val="1"/>
          <w:numId w:val="18"/>
        </w:numPr>
        <w:spacing w:line="240" w:lineRule="auto"/>
      </w:pPr>
      <w:commentRangeStart w:id="57"/>
      <w:r>
        <w:t xml:space="preserve">Markets </w:t>
      </w:r>
      <w:r w:rsidR="005E6527">
        <w:t xml:space="preserve">which contain </w:t>
      </w:r>
      <w:r>
        <w:t xml:space="preserve">more firms, will have higher </w:t>
      </w:r>
      <w:r w:rsidR="005E6527">
        <w:t xml:space="preserve">average </w:t>
      </w:r>
      <w:r>
        <w:t>cost pass through rates;</w:t>
      </w:r>
      <w:r w:rsidR="00FA2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m:t>= 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n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&gt;0         ∀n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AEDB6D8" w14:textId="5B70AA6E" w:rsidR="00766317" w:rsidRDefault="001A2AE8" w:rsidP="00B025E0">
      <w:pPr>
        <w:pStyle w:val="ListParagraph"/>
        <w:numPr>
          <w:ilvl w:val="1"/>
          <w:numId w:val="18"/>
        </w:numPr>
      </w:pPr>
      <w:r>
        <w:t xml:space="preserve">In the </w:t>
      </w:r>
      <w:r w:rsidR="00766317">
        <w:t>extreme case of perfect competition, there are infinitely many firms</w:t>
      </w:r>
      <w:r w:rsidR="00D91A98">
        <w:t xml:space="preserve"> </w:t>
      </w:r>
      <w:r w:rsidR="00931793">
        <w:t xml:space="preserve">and </w:t>
      </w:r>
      <w:r w:rsidR="006A3AFF">
        <w:t>the cost pass through rate is 1</w:t>
      </w:r>
      <w:r w:rsidR="00154C1D">
        <w:t>. Any firm which raises its cost by more (</w:t>
      </w:r>
      <m:oMath>
        <m:r>
          <w:rPr>
            <w:rFonts w:ascii="Cambria Math" w:hAnsi="Cambria Math"/>
          </w:rPr>
          <m:t>ρ&gt;1</m:t>
        </m:r>
      </m:oMath>
      <w:r w:rsidR="00154C1D">
        <w:rPr>
          <w:rFonts w:eastAsiaTheme="minorEastAsia"/>
        </w:rPr>
        <w:t>),</w:t>
      </w:r>
      <w:r w:rsidR="00E462A5">
        <w:rPr>
          <w:rFonts w:eastAsiaTheme="minorEastAsia"/>
        </w:rPr>
        <w:t xml:space="preserve"> will have 0 demand. Any firm which raises its cost by less (</w:t>
      </w:r>
      <m:oMath>
        <m:r>
          <w:rPr>
            <w:rFonts w:ascii="Cambria Math" w:hAnsi="Cambria Math"/>
          </w:rPr>
          <m:t>ρ&lt;1</m:t>
        </m:r>
      </m:oMath>
      <w:r w:rsidR="00E462A5">
        <w:rPr>
          <w:rFonts w:eastAsiaTheme="minorEastAsia"/>
        </w:rPr>
        <w:t xml:space="preserve">), will make a loss </w:t>
      </w:r>
      <w:r w:rsidR="009F7D61">
        <w:rPr>
          <w:rFonts w:eastAsiaTheme="minorEastAsia"/>
        </w:rPr>
        <w:t>as price was equal to marginal cost prior to the rise in cost</w:t>
      </w:r>
      <w:r w:rsidR="008714BB">
        <w:rPr>
          <w:rFonts w:eastAsiaTheme="minorEastAsia"/>
        </w:rPr>
        <w:t>;</w:t>
      </w:r>
    </w:p>
    <w:p w14:paraId="17BB48B0" w14:textId="3B5E0FBB" w:rsidR="005E6527" w:rsidRPr="002A5173" w:rsidRDefault="00BA7E9B" w:rsidP="00B025E0">
      <w:pPr>
        <w:pStyle w:val="ListParagraph"/>
        <w:numPr>
          <w:ilvl w:val="1"/>
          <w:numId w:val="18"/>
        </w:numPr>
      </w:pPr>
      <w:r>
        <w:t xml:space="preserve">In the other extreme of a </w:t>
      </w:r>
      <w:r w:rsidR="001A2AE8">
        <w:t xml:space="preserve">monopoly </w:t>
      </w:r>
      <w:r>
        <w:t>market</w:t>
      </w:r>
      <w:r w:rsidR="001A2AE8">
        <w:t xml:space="preserve">, </w:t>
      </w:r>
      <w:r w:rsidR="00E93CD3">
        <w:t xml:space="preserve">the firm will find it optimal to pass through less than </w:t>
      </w:r>
      <w:r w:rsidR="0093343E">
        <w:t xml:space="preserve">the </w:t>
      </w:r>
      <w:r w:rsidR="00CC5BF8">
        <w:t>increase in cost</w:t>
      </w:r>
      <w:r w:rsidR="00105E0D">
        <w:t xml:space="preserve"> (</w:t>
      </w:r>
      <m:oMath>
        <m:r>
          <w:rPr>
            <w:rFonts w:ascii="Cambria Math" w:hAnsi="Cambria Math"/>
          </w:rPr>
          <m:t>ρ&lt;1</m:t>
        </m:r>
      </m:oMath>
      <w:r w:rsidR="00105E0D">
        <w:t>)</w:t>
      </w:r>
      <w:r w:rsidR="00CC5BF8">
        <w:t>, provided that demand is not perfectly inelastic.</w:t>
      </w:r>
      <w:commentRangeEnd w:id="57"/>
      <w:r w:rsidR="00DA2D51">
        <w:rPr>
          <w:rStyle w:val="CommentReference"/>
        </w:rPr>
        <w:commentReference w:id="57"/>
      </w:r>
    </w:p>
    <w:p w14:paraId="6E86B31C" w14:textId="3D089680" w:rsidR="001211B8" w:rsidRDefault="00FC2180" w:rsidP="001211B8">
      <w:pPr>
        <w:pStyle w:val="ListParagraph"/>
        <w:numPr>
          <w:ilvl w:val="0"/>
          <w:numId w:val="18"/>
        </w:numPr>
        <w:rPr>
          <w:b/>
        </w:rPr>
      </w:pPr>
      <w:commentRangeStart w:id="58"/>
      <w:r>
        <w:rPr>
          <w:b/>
        </w:rPr>
        <w:t xml:space="preserve">Less </w:t>
      </w:r>
      <w:r w:rsidR="001211B8" w:rsidRPr="00D20793">
        <w:rPr>
          <w:b/>
        </w:rPr>
        <w:t>product differentiation</w:t>
      </w:r>
      <w:r w:rsidR="000719B5">
        <w:rPr>
          <w:b/>
        </w:rPr>
        <w:t xml:space="preserve"> </w:t>
      </w:r>
      <w:r w:rsidR="000719B5">
        <w:t>in the market</w:t>
      </w:r>
      <w:r>
        <w:rPr>
          <w:b/>
        </w:rPr>
        <w:t>:</w:t>
      </w:r>
      <w:commentRangeEnd w:id="58"/>
      <w:r w:rsidR="00BB7BA5">
        <w:rPr>
          <w:rStyle w:val="CommentReference"/>
        </w:rPr>
        <w:commentReference w:id="58"/>
      </w:r>
    </w:p>
    <w:p w14:paraId="28DF5719" w14:textId="7D572E00" w:rsidR="00A967A4" w:rsidRDefault="0025564A" w:rsidP="004B5178">
      <w:pPr>
        <w:pStyle w:val="ListParagraph"/>
        <w:numPr>
          <w:ilvl w:val="1"/>
          <w:numId w:val="18"/>
        </w:numPr>
      </w:pPr>
      <w:r>
        <w:t xml:space="preserve">In the extreme case of perfect competition, there is no product differentiation and </w:t>
      </w:r>
      <w:r w:rsidR="005C0736">
        <w:t>the cost pass through rate is 1;</w:t>
      </w:r>
    </w:p>
    <w:p w14:paraId="4F081BC7" w14:textId="03113313" w:rsidR="00843B83" w:rsidRPr="004B5178" w:rsidRDefault="0005163B" w:rsidP="00843B83">
      <w:pPr>
        <w:pStyle w:val="ListParagraph"/>
        <w:numPr>
          <w:ilvl w:val="1"/>
          <w:numId w:val="18"/>
        </w:numPr>
      </w:pPr>
      <w:r>
        <w:t>In the monopoly</w:t>
      </w:r>
      <w:r w:rsidR="009F09B6">
        <w:t xml:space="preserve"> case, </w:t>
      </w:r>
      <w:r w:rsidR="00203342">
        <w:t xml:space="preserve">the product is highly differentiated </w:t>
      </w:r>
      <w:r w:rsidR="002D4A1B">
        <w:t>from other products (as there are no other producers), and the cost pass through is lower as described above</w:t>
      </w:r>
      <w:r w:rsidR="00843B83">
        <w:t>;</w:t>
      </w:r>
    </w:p>
    <w:p w14:paraId="2B0DF2D0" w14:textId="476F55D1" w:rsidR="004B5178" w:rsidRDefault="004B5178" w:rsidP="001211B8">
      <w:pPr>
        <w:pStyle w:val="ListParagraph"/>
        <w:numPr>
          <w:ilvl w:val="0"/>
          <w:numId w:val="18"/>
        </w:numPr>
      </w:pPr>
      <w:commentRangeStart w:id="59"/>
      <w:r w:rsidRPr="004B5178">
        <w:rPr>
          <w:b/>
        </w:rPr>
        <w:t>Less competition</w:t>
      </w:r>
      <w:r w:rsidRPr="000719B5">
        <w:t xml:space="preserve"> in the market:</w:t>
      </w:r>
      <w:commentRangeEnd w:id="59"/>
      <w:r w:rsidR="004F3C48">
        <w:rPr>
          <w:rStyle w:val="CommentReference"/>
        </w:rPr>
        <w:commentReference w:id="59"/>
      </w:r>
    </w:p>
    <w:p w14:paraId="153BFE15" w14:textId="0EB75FBE" w:rsidR="008B6D95" w:rsidRDefault="00F406A4" w:rsidP="008B6D95">
      <w:pPr>
        <w:pStyle w:val="ListParagraph"/>
        <w:numPr>
          <w:ilvl w:val="1"/>
          <w:numId w:val="18"/>
        </w:numPr>
      </w:pPr>
      <w:r>
        <w:t>les</w:t>
      </w:r>
    </w:p>
    <w:p w14:paraId="0DC427DB" w14:textId="5F73367F" w:rsidR="00843B83" w:rsidRPr="008B6D95" w:rsidRDefault="00843B83" w:rsidP="008B6D95">
      <w:pPr>
        <w:pStyle w:val="ListParagraph"/>
        <w:numPr>
          <w:ilvl w:val="1"/>
          <w:numId w:val="18"/>
        </w:numPr>
      </w:pPr>
      <w:r>
        <w:lastRenderedPageBreak/>
        <w:t>In the other extreme case of a monopoly market, there is no competition, and the cost pass through rate is lower as described above.</w:t>
      </w:r>
    </w:p>
    <w:bookmarkEnd w:id="52"/>
    <w:bookmarkEnd w:id="53"/>
    <w:p w14:paraId="7FAFE749" w14:textId="487F4464" w:rsidR="00131DBD" w:rsidRDefault="00131DBD" w:rsidP="007E1EF4"/>
    <w:p w14:paraId="556F9482" w14:textId="2CA358C5" w:rsidR="00360EE0" w:rsidRDefault="00360EE0" w:rsidP="00360EE0">
      <w:pPr>
        <w:pStyle w:val="Heading3"/>
      </w:pPr>
      <w:bookmarkStart w:id="60" w:name="_Ref508287429"/>
      <w:r>
        <w:t>Sales impact</w:t>
      </w:r>
      <w:bookmarkEnd w:id="60"/>
    </w:p>
    <w:p w14:paraId="340C49E0" w14:textId="77777777" w:rsidR="001C4B1C" w:rsidRPr="001C4B1C" w:rsidRDefault="00A427DB" w:rsidP="00882E9D">
      <w:pPr>
        <w:spacing w:line="240" w:lineRule="auto"/>
        <w:rPr>
          <w:rFonts w:eastAsiaTheme="minorEastAsia"/>
        </w:rPr>
      </w:pPr>
      <w:r w:rsidRPr="00CB463D">
        <w:rPr>
          <w:b/>
        </w:rPr>
        <w:t xml:space="preserve">The sales impact is </w:t>
      </w:r>
      <w:r w:rsidR="005C4025" w:rsidRPr="00CB463D">
        <w:rPr>
          <w:b/>
        </w:rPr>
        <w:t xml:space="preserve">the final key feature </w:t>
      </w:r>
      <w:r w:rsidRPr="00CB463D">
        <w:rPr>
          <w:b/>
        </w:rPr>
        <w:t xml:space="preserve">of the </w:t>
      </w:r>
      <w:proofErr w:type="gramStart"/>
      <w:r w:rsidRPr="00CB463D">
        <w:rPr>
          <w:b/>
        </w:rPr>
        <w:t>model, and</w:t>
      </w:r>
      <w:proofErr w:type="gramEnd"/>
      <w:r w:rsidRPr="00CB463D">
        <w:rPr>
          <w:b/>
        </w:rPr>
        <w:t xml:space="preserve"> captures the </w:t>
      </w:r>
      <w:r w:rsidR="00043A7C" w:rsidRPr="00CB463D">
        <w:rPr>
          <w:b/>
        </w:rPr>
        <w:t>responsiveness of consumer demand to changes in the average price.</w:t>
      </w:r>
      <w:r w:rsidR="00DA57AC">
        <w:rPr>
          <w:b/>
        </w:rPr>
        <w:t xml:space="preserve"> </w:t>
      </w:r>
      <w:r w:rsidR="00DA57AC">
        <w:t>Equation D</w:t>
      </w:r>
      <w:r w:rsidR="002C3D53">
        <w:t xml:space="preserve"> states that the change in market quantity is given by the change in average market price multiplied by the price elasticity of demand as set out below:</w:t>
      </w:r>
      <w:r w:rsidR="005B70DC">
        <w:br/>
      </w:r>
      <w:r w:rsidR="005B70DC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>=- 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1450EDB" w14:textId="77777777" w:rsidR="001C4B1C" w:rsidRDefault="001C4B1C" w:rsidP="00882E9D">
      <w:pPr>
        <w:spacing w:line="240" w:lineRule="auto"/>
      </w:pPr>
    </w:p>
    <w:p w14:paraId="5013E357" w14:textId="4F23E8BD" w:rsidR="00A50182" w:rsidRPr="00A50182" w:rsidRDefault="00881685" w:rsidP="00882E9D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= -η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</m:oMath>
      </m:oMathPara>
    </w:p>
    <w:p w14:paraId="373BD1BE" w14:textId="77777777" w:rsidR="00A50182" w:rsidRDefault="00A50182" w:rsidP="00882E9D">
      <w:pPr>
        <w:spacing w:line="240" w:lineRule="auto"/>
      </w:pPr>
    </w:p>
    <w:p w14:paraId="4CE839F4" w14:textId="40884F03" w:rsidR="009312F0" w:rsidRPr="00A46D95" w:rsidRDefault="00881685" w:rsidP="00A46D95">
      <w:pPr>
        <w:spacing w:line="240" w:lineRule="auto"/>
        <w:rPr>
          <w:b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= -η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= -</m:t>
          </m:r>
          <m:r>
            <w:rPr>
              <w:rFonts w:ascii="Cambria Math" w:hAnsi="Cambria Math"/>
            </w:rPr>
            <m:t xml:space="preserve">η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×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p>
                  </m:sSup>
                </m:e>
              </m:acc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                               = -</m:t>
          </m:r>
          <m:r>
            <w:rPr>
              <w:rFonts w:ascii="Cambria Math" w:hAnsi="Cambria Math"/>
            </w:rPr>
            <m:t>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p>
                </m:e>
              </m:acc>
              <w:commentRangeStart w:id="61"/>
              <w:commentRangeEnd w:id="61"/>
              <m:r>
                <m:rPr>
                  <m:sty m:val="p"/>
                </m:rPr>
                <w:rPr>
                  <w:rStyle w:val="CommentReference"/>
                </w:rPr>
                <w:commentReference w:id="61"/>
              </m:r>
            </m:e>
          </m:d>
          <m:r>
            <w:rPr>
              <w:rFonts w:ascii="Cambria Math" w:hAnsi="Cambria Math"/>
            </w:rPr>
            <m:t xml:space="preserve">         [Equation D </m:t>
          </m:r>
          <m:r>
            <w:rPr>
              <w:rFonts w:ascii="Cambria Math" w:hAnsi="Cambria Math"/>
              <w:i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</w:rPr>
            <m:t xml:space="preserve"> REF _Ref508113291 \r \h </m:t>
          </m:r>
          <m:r>
            <w:rPr>
              <w:rFonts w:ascii="Cambria Math" w:hAnsi="Cambria Math"/>
              <w:i/>
            </w:rPr>
          </m:r>
          <m:r>
            <w:rPr>
              <w:rFonts w:ascii="Cambria Math" w:hAnsi="Cambria Math"/>
              <w:i/>
            </w:rPr>
            <w:fldChar w:fldCharType="separate"/>
          </m:r>
          <m:r>
            <m:rPr>
              <m:sty m:val="p"/>
            </m:rPr>
            <w:rPr>
              <w:rFonts w:ascii="Cambria Math" w:hAnsi="Cambria Math"/>
            </w:rPr>
            <m:t>1.1.2</m:t>
          </m:r>
          <m:r>
            <w:rPr>
              <w:rFonts w:ascii="Cambria Math" w:hAnsi="Cambria Math"/>
              <w:i/>
            </w:rPr>
            <w:fldChar w:fldCharType="end"/>
          </m:r>
          <m:r>
            <w:rPr>
              <w:rFonts w:ascii="Cambria Math" w:hAnsi="Cambria Math"/>
            </w:rPr>
            <m:t>]</m:t>
          </m:r>
        </m:oMath>
      </m:oMathPara>
    </w:p>
    <w:sectPr w:rsidR="009312F0" w:rsidRPr="00A46D95" w:rsidSect="002C224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1077" w:footer="34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hyamal Patel" w:date="2018-03-05T22:25:00Z" w:initials="SP">
    <w:p w14:paraId="4D8E2792" w14:textId="24F3233A" w:rsidR="00AB15FA" w:rsidRDefault="00AB15FA">
      <w:pPr>
        <w:pStyle w:val="CommentText"/>
      </w:pPr>
      <w:r>
        <w:rPr>
          <w:rStyle w:val="CommentReference"/>
        </w:rPr>
        <w:annotationRef/>
      </w:r>
      <w:r>
        <w:t>Based on the Bloomberg Industrial Classification System (BICS).</w:t>
      </w:r>
    </w:p>
  </w:comment>
  <w:comment w:id="4" w:author="Shyamal Patel" w:date="2018-03-05T23:11:00Z" w:initials="SP">
    <w:p w14:paraId="3D8CF566" w14:textId="55963AED" w:rsidR="00297908" w:rsidRDefault="00297908">
      <w:pPr>
        <w:pStyle w:val="CommentText"/>
      </w:pPr>
      <w:r>
        <w:rPr>
          <w:rStyle w:val="CommentReference"/>
        </w:rPr>
        <w:annotationRef/>
      </w:r>
      <w:r>
        <w:t xml:space="preserve">Purely for background on the model – </w:t>
      </w:r>
      <w:r w:rsidR="002D50A9">
        <w:t>some</w:t>
      </w:r>
      <w:r>
        <w:t xml:space="preserve"> of this should be nowhere near the final report! </w:t>
      </w:r>
    </w:p>
  </w:comment>
  <w:comment w:id="5" w:author="Shyamal Patel" w:date="2018-03-05T23:13:00Z" w:initials="SP">
    <w:p w14:paraId="764CC765" w14:textId="267C67FE" w:rsidR="001567D2" w:rsidRDefault="001567D2" w:rsidP="001567D2">
      <w:pPr>
        <w:pStyle w:val="CommentText"/>
      </w:pPr>
      <w:r>
        <w:rPr>
          <w:rStyle w:val="CommentReference"/>
        </w:rPr>
        <w:annotationRef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intensity=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emissions</m:t>
            </m:r>
          </m:num>
          <m:den>
            <m:r>
              <w:rPr>
                <w:rFonts w:ascii="Cambria Math" w:hAnsi="Cambria Math"/>
              </w:rPr>
              <m:t>Revenue</m:t>
            </m:r>
          </m:den>
        </m:f>
      </m:oMath>
    </w:p>
  </w:comment>
  <w:comment w:id="6" w:author="Shyamal Patel" w:date="2018-03-05T23:40:00Z" w:initials="SP">
    <w:p w14:paraId="3D406B3F" w14:textId="7CFEA21B" w:rsidR="00A073D3" w:rsidRDefault="00A073D3">
      <w:pPr>
        <w:pStyle w:val="CommentText"/>
      </w:pPr>
      <w:r>
        <w:rPr>
          <w:rStyle w:val="CommentReference"/>
        </w:rPr>
        <w:annotationRef/>
      </w:r>
      <w:r>
        <w:t xml:space="preserve">High emissions but high abatement potential industries will not </w:t>
      </w:r>
      <w:r w:rsidR="0015039F">
        <w:t>be as affected by climate policy as high emissions but low abatement potential industries…</w:t>
      </w:r>
      <w:r w:rsidR="006D1C1F">
        <w:br/>
        <w:t xml:space="preserve">For instance, </w:t>
      </w:r>
      <w:r w:rsidR="000D1ED6">
        <w:t>power generation vs. marine shipping</w:t>
      </w:r>
      <w:r w:rsidR="00B32755">
        <w:t>.</w:t>
      </w:r>
    </w:p>
  </w:comment>
  <w:comment w:id="7" w:author="Shyamal Patel" w:date="2018-03-06T10:44:00Z" w:initials="SP">
    <w:p w14:paraId="51866B65" w14:textId="6286C716" w:rsidR="002C49D0" w:rsidRDefault="002C49D0">
      <w:pPr>
        <w:pStyle w:val="CommentText"/>
      </w:pPr>
      <w:r>
        <w:rPr>
          <w:rStyle w:val="CommentReference"/>
        </w:rPr>
        <w:annotationRef/>
      </w:r>
      <w:r>
        <w:t xml:space="preserve">where,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, is the market’s assessment of the likelihood of a 2DS scenario,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BAU</m:t>
            </m:r>
          </m:sup>
        </m:sSup>
      </m:oMath>
      <w:r>
        <w:rPr>
          <w:rFonts w:eastAsiaTheme="minorEastAsia"/>
        </w:rPr>
        <w:t xml:space="preserve">, represents company </w:t>
      </w:r>
      <m:oMath>
        <m:r>
          <w:rPr>
            <w:rFonts w:ascii="Cambria Math" w:eastAsiaTheme="minorEastAsia" w:hAnsi="Cambria Math"/>
          </w:rPr>
          <m:t>i's</m:t>
        </m:r>
      </m:oMath>
      <w:r>
        <w:rPr>
          <w:rFonts w:eastAsiaTheme="minorEastAsia"/>
        </w:rPr>
        <w:t xml:space="preserve"> profit in a business as usual world, and </w:t>
      </w:r>
      <m:oMath>
        <m:sSup>
          <m:sSup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2DS</m:t>
            </m:r>
          </m:sup>
        </m:sSup>
      </m:oMath>
      <w:r>
        <w:rPr>
          <w:rFonts w:eastAsiaTheme="minorEastAsia"/>
        </w:rPr>
        <w:t xml:space="preserve"> its profit in a 2DS climate policy world.</w:t>
      </w:r>
    </w:p>
  </w:comment>
  <w:comment w:id="8" w:author="Shyamal Patel" w:date="2018-03-06T10:36:00Z" w:initials="SP">
    <w:p w14:paraId="28225A93" w14:textId="5CECABEE" w:rsidR="00B80BD3" w:rsidRDefault="00B80BD3">
      <w:pPr>
        <w:pStyle w:val="CommentText"/>
      </w:pPr>
      <w:r>
        <w:rPr>
          <w:rStyle w:val="CommentReference"/>
        </w:rPr>
        <w:annotationRef/>
      </w:r>
      <w:r>
        <w:t xml:space="preserve">Tesla is exposed to more risk, but relative to a BAU scenario, all the risk for Tesla will be </w:t>
      </w:r>
      <w:r w:rsidRPr="00B80BD3">
        <w:rPr>
          <w:b/>
        </w:rPr>
        <w:t>upside risk</w:t>
      </w:r>
    </w:p>
  </w:comment>
  <w:comment w:id="9" w:author="Shyamal Patel" w:date="2018-03-06T00:00:00Z" w:initials="SP">
    <w:p w14:paraId="2E830323" w14:textId="72B3E4F5" w:rsidR="000867C6" w:rsidRDefault="000867C6">
      <w:pPr>
        <w:pStyle w:val="CommentText"/>
      </w:pPr>
      <w:r>
        <w:rPr>
          <w:rStyle w:val="CommentReference"/>
        </w:rPr>
        <w:annotationRef/>
      </w:r>
      <w:r>
        <w:t>Quantity reallocation parameter in the code.</w:t>
      </w:r>
      <w:r w:rsidR="00D842B6">
        <w:br/>
        <w:t>See (</w:t>
      </w:r>
      <w:r w:rsidR="00D842B6">
        <w:fldChar w:fldCharType="begin"/>
      </w:r>
      <w:r w:rsidR="00D842B6">
        <w:instrText xml:space="preserve"> REF _Ref508200837 \r \h </w:instrText>
      </w:r>
      <w:r w:rsidR="00D842B6">
        <w:fldChar w:fldCharType="separate"/>
      </w:r>
      <w:r w:rsidR="00D842B6">
        <w:t>17</w:t>
      </w:r>
      <w:r w:rsidR="00D842B6">
        <w:fldChar w:fldCharType="end"/>
      </w:r>
      <w:r w:rsidR="00D842B6">
        <w:t>)</w:t>
      </w:r>
    </w:p>
  </w:comment>
  <w:comment w:id="10" w:author="Shyamal Patel" w:date="2018-03-06T11:38:00Z" w:initials="SP">
    <w:p w14:paraId="4856D5E1" w14:textId="4E94C3A0" w:rsidR="00474C7D" w:rsidRDefault="00474C7D">
      <w:pPr>
        <w:pStyle w:val="CommentText"/>
      </w:pPr>
      <w:r>
        <w:rPr>
          <w:rStyle w:val="CommentReference"/>
        </w:rPr>
        <w:annotationRef/>
      </w:r>
      <w:r>
        <w:t>Reflected in the approximate nature of equation A.</w:t>
      </w:r>
    </w:p>
  </w:comment>
  <w:comment w:id="11" w:author="Shyamal Patel" w:date="2018-03-06T13:30:00Z" w:initials="SP">
    <w:p w14:paraId="1DBF0293" w14:textId="7E48BAE7" w:rsidR="00E13137" w:rsidRDefault="00E13137">
      <w:pPr>
        <w:pStyle w:val="CommentText"/>
      </w:pPr>
      <w:r>
        <w:rPr>
          <w:rStyle w:val="CommentReference"/>
        </w:rPr>
        <w:annotationRef/>
      </w:r>
      <w:r>
        <w:t>This can be shown algebraically</w:t>
      </w:r>
      <w:r w:rsidR="00B924F2">
        <w:t xml:space="preserve">, as an </w:t>
      </w:r>
      <w:proofErr w:type="gramStart"/>
      <w:r w:rsidR="00B924F2">
        <w:t>exact results</w:t>
      </w:r>
      <w:proofErr w:type="gramEnd"/>
      <w:r w:rsidR="00B924F2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924F2">
        <w:rPr>
          <w:rFonts w:eastAsiaTheme="minorEastAsia"/>
        </w:rPr>
        <w:t xml:space="preserve"> is constant over time</w:t>
      </w:r>
      <w:r w:rsidR="00A036FF">
        <w:rPr>
          <w:rFonts w:eastAsiaTheme="minorEastAsia"/>
        </w:rPr>
        <w:t>, in Robert’s equations.</w:t>
      </w:r>
      <w:r w:rsidR="00A036FF">
        <w:rPr>
          <w:rFonts w:eastAsiaTheme="minorEastAsia"/>
        </w:rPr>
        <w:br/>
      </w:r>
      <w:r w:rsidR="00A036FF">
        <w:rPr>
          <w:rFonts w:eastAsiaTheme="minorEastAsia"/>
        </w:rPr>
        <w:br/>
        <w:t>Note that firm share’s change in our model due to firm closure and quantity reallocation.</w:t>
      </w:r>
    </w:p>
  </w:comment>
  <w:comment w:id="12" w:author="Shyamal Patel" w:date="2018-03-06T13:04:00Z" w:initials="SP">
    <w:p w14:paraId="18220329" w14:textId="789E112A" w:rsidR="00C87B24" w:rsidRDefault="00C87B24">
      <w:pPr>
        <w:pStyle w:val="CommentText"/>
      </w:pPr>
      <w:r>
        <w:rPr>
          <w:rStyle w:val="CommentReference"/>
        </w:rPr>
        <w:annotationRef/>
      </w:r>
      <w:r>
        <w:t>Defined as price minus unit cost</w:t>
      </w:r>
    </w:p>
  </w:comment>
  <w:comment w:id="13" w:author="Shyamal Patel" w:date="2018-03-06T14:14:00Z" w:initials="SP">
    <w:p w14:paraId="3F83886E" w14:textId="6031146B" w:rsidR="00F928B7" w:rsidRDefault="00F928B7">
      <w:pPr>
        <w:pStyle w:val="CommentText"/>
      </w:pPr>
      <w:r>
        <w:rPr>
          <w:rStyle w:val="CommentReference"/>
        </w:rPr>
        <w:annotationRef/>
      </w:r>
      <w:r>
        <w:t xml:space="preserve">Suppressing t from </w:t>
      </w:r>
      <m:oMath>
        <m:r>
          <w:rPr>
            <w:rFonts w:ascii="Cambria Math" w:hAnsi="Cambria Math"/>
          </w:rPr>
          <m:t xml:space="preserve">θ and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rPr>
          <w:rFonts w:eastAsiaTheme="minorEastAsia"/>
        </w:rPr>
        <w:t xml:space="preserve"> terms, as these are assumed to be constant over time.</w:t>
      </w:r>
    </w:p>
  </w:comment>
  <w:comment w:id="19" w:author="Shyamal Patel" w:date="2018-03-07T18:19:00Z" w:initials="SP">
    <w:p w14:paraId="388A847D" w14:textId="56B5FFA3" w:rsidR="00BD0D20" w:rsidRDefault="00BD0D20">
      <w:pPr>
        <w:pStyle w:val="CommentText"/>
      </w:pPr>
      <w:r>
        <w:rPr>
          <w:rStyle w:val="CommentReference"/>
        </w:rPr>
        <w:annotationRef/>
      </w:r>
      <w:r>
        <w:t>The equivalent sector level quantities are also calculated for use in the sales impact term equation and elsewhere.</w:t>
      </w:r>
    </w:p>
  </w:comment>
  <w:comment w:id="26" w:author="Shyamal Patel" w:date="2018-03-06T14:14:00Z" w:initials="SP">
    <w:p w14:paraId="72C2B5D7" w14:textId="77777777" w:rsidR="00CA791D" w:rsidRDefault="00CA791D" w:rsidP="00CA791D">
      <w:pPr>
        <w:pStyle w:val="CommentText"/>
      </w:pPr>
      <w:r>
        <w:rPr>
          <w:rStyle w:val="CommentReference"/>
        </w:rPr>
        <w:annotationRef/>
      </w:r>
      <w:r>
        <w:t xml:space="preserve">Suppressing t from </w:t>
      </w:r>
      <m:oMath>
        <m:r>
          <w:rPr>
            <w:rFonts w:ascii="Cambria Math" w:hAnsi="Cambria Math"/>
          </w:rPr>
          <m:t xml:space="preserve">θ and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rPr>
          <w:rFonts w:eastAsiaTheme="minorEastAsia"/>
        </w:rPr>
        <w:t xml:space="preserve"> terms, as these are assumed to be constant over time.</w:t>
      </w:r>
    </w:p>
  </w:comment>
  <w:comment w:id="31" w:author="Shyamal Patel" w:date="2018-03-06T17:14:00Z" w:initials="SP">
    <w:p w14:paraId="51D553C7" w14:textId="77777777" w:rsidR="00202234" w:rsidRDefault="00202234" w:rsidP="00202234">
      <w:pPr>
        <w:pStyle w:val="CommentText"/>
      </w:pPr>
      <w:r w:rsidRPr="00633342">
        <w:rPr>
          <w:rStyle w:val="CommentReference"/>
          <w:color w:val="FF0000"/>
        </w:rPr>
        <w:annotationRef/>
      </w:r>
      <w:r w:rsidRPr="00633342">
        <w:rPr>
          <w:color w:val="FF0000"/>
        </w:rPr>
        <w:t>Note that this is still under review and may not make the final cut of the tool</w:t>
      </w:r>
    </w:p>
  </w:comment>
  <w:comment w:id="34" w:author="Shyamal Patel" w:date="2018-03-07T15:01:00Z" w:initials="SP">
    <w:p w14:paraId="70BECA05" w14:textId="02C3F9D7" w:rsidR="000D5314" w:rsidRDefault="000D5314">
      <w:pPr>
        <w:pStyle w:val="CommentText"/>
      </w:pPr>
      <w:r>
        <w:rPr>
          <w:rStyle w:val="CommentReference"/>
        </w:rPr>
        <w:annotationRef/>
      </w:r>
      <w:r w:rsidRPr="00633342">
        <w:rPr>
          <w:rStyle w:val="CommentReference"/>
          <w:color w:val="FF0000"/>
        </w:rPr>
        <w:annotationRef/>
      </w:r>
      <w:r w:rsidRPr="00633342">
        <w:rPr>
          <w:color w:val="FF0000"/>
        </w:rPr>
        <w:t>Note that this is still under review and may not make the final cut of the tool</w:t>
      </w:r>
    </w:p>
  </w:comment>
  <w:comment w:id="37" w:author="Shyamal Patel" w:date="2018-03-06T13:30:00Z" w:initials="SP">
    <w:p w14:paraId="38563506" w14:textId="77777777" w:rsidR="001B56CF" w:rsidRDefault="001B56CF" w:rsidP="001B56CF">
      <w:pPr>
        <w:pStyle w:val="CommentText"/>
      </w:pPr>
      <w:r>
        <w:rPr>
          <w:rStyle w:val="CommentReference"/>
        </w:rPr>
        <w:annotationRef/>
      </w:r>
      <w:r>
        <w:t xml:space="preserve">This can be shown algebraically, as an </w:t>
      </w:r>
      <w:proofErr w:type="gramStart"/>
      <w:r>
        <w:t>exact results</w:t>
      </w:r>
      <w:proofErr w:type="gramEnd"/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constant over time, in Robert’s equations.</w:t>
      </w:r>
      <w:r>
        <w:rPr>
          <w:rFonts w:eastAsiaTheme="minorEastAsia"/>
        </w:rPr>
        <w:br/>
      </w:r>
      <w:r>
        <w:rPr>
          <w:rFonts w:eastAsiaTheme="minorEastAsia"/>
        </w:rPr>
        <w:br/>
        <w:t>Note that firm share’s change in our model due to firm closure and quantity reallocation.</w:t>
      </w:r>
    </w:p>
  </w:comment>
  <w:comment w:id="48" w:author="Shyamal Patel" w:date="2018-03-07T19:33:00Z" w:initials="SP">
    <w:p w14:paraId="01D70B99" w14:textId="25FE6C78" w:rsidR="00394BFA" w:rsidRDefault="00394BFA">
      <w:pPr>
        <w:pStyle w:val="CommentText"/>
      </w:pPr>
      <w:r>
        <w:rPr>
          <w:rStyle w:val="CommentReference"/>
        </w:rPr>
        <w:annotationRef/>
      </w:r>
      <w:r>
        <w:t>Sector profit margin is analogously defined based on 21 and 24.</w:t>
      </w:r>
    </w:p>
  </w:comment>
  <w:comment w:id="51" w:author="Shyamal Patel" w:date="2018-03-08T17:31:00Z" w:initials="SP">
    <w:p w14:paraId="0D4B15DF" w14:textId="306056FB" w:rsidR="005E438C" w:rsidRDefault="005E438C">
      <w:pPr>
        <w:pStyle w:val="CommentText"/>
      </w:pPr>
      <w:r>
        <w:rPr>
          <w:rStyle w:val="CommentReference"/>
        </w:rPr>
        <w:annotationRef/>
      </w:r>
      <w:r>
        <w:t xml:space="preserve">The cost pass through rate </w:t>
      </w:r>
      <w:r w:rsidRPr="00B304C9">
        <w:rPr>
          <w:b/>
        </w:rPr>
        <w:t>does not</w:t>
      </w:r>
      <w:r>
        <w:t xml:space="preserve"> depend on the price elasticity of demand parameter.</w:t>
      </w:r>
      <w:r>
        <w:br/>
        <w:t>The price elasticity of demand affects only the sales impact channel, as the model is not structural.</w:t>
      </w:r>
      <w:r>
        <w:br/>
      </w:r>
      <w:r w:rsidRPr="00CD1092">
        <w:rPr>
          <w:color w:val="FF0000"/>
        </w:rPr>
        <w:t>Not sure if this reasoning is right – may have to check with Robert R.</w:t>
      </w:r>
    </w:p>
  </w:comment>
  <w:comment w:id="54" w:author="Shyamal Patel" w:date="2018-03-08T18:22:00Z" w:initials="SP">
    <w:p w14:paraId="15FA1276" w14:textId="0F9B76BB" w:rsidR="0034269E" w:rsidRDefault="0034269E">
      <w:pPr>
        <w:pStyle w:val="CommentText"/>
      </w:pPr>
      <w:r>
        <w:rPr>
          <w:rStyle w:val="CommentReference"/>
        </w:rPr>
        <w:annotationRef/>
      </w:r>
      <w:r>
        <w:t xml:space="preserve">All of these results can be shown by differentiated </w:t>
      </w:r>
      <w:r w:rsidR="0020303A">
        <w:t>Equation C with respect to the corresponding term.</w:t>
      </w:r>
    </w:p>
  </w:comment>
  <w:comment w:id="55" w:author="Shyamal Patel" w:date="2018-03-08T18:08:00Z" w:initials="SP">
    <w:p w14:paraId="6CC2D582" w14:textId="7CAF745F" w:rsidR="005E687A" w:rsidRDefault="005E687A">
      <w:pPr>
        <w:pStyle w:val="CommentText"/>
      </w:pPr>
      <w:r>
        <w:rPr>
          <w:rStyle w:val="CommentReference"/>
        </w:rPr>
        <w:annotationRef/>
      </w:r>
      <w:r>
        <w:t>Market price derivation is (</w:t>
      </w:r>
      <w:r>
        <w:fldChar w:fldCharType="begin"/>
      </w:r>
      <w:r>
        <w:instrText xml:space="preserve"> REF _Ref508295889 \r \h </w:instrText>
      </w:r>
      <w:r>
        <w:fldChar w:fldCharType="separate"/>
      </w:r>
      <w:r>
        <w:t>22</w:t>
      </w:r>
      <w:r>
        <w:fldChar w:fldCharType="end"/>
      </w:r>
      <w:r>
        <w:t>)</w:t>
      </w:r>
    </w:p>
  </w:comment>
  <w:comment w:id="56" w:author="Shyamal Patel" w:date="2018-03-08T18:49:00Z" w:initials="SP">
    <w:p w14:paraId="6389BAD7" w14:textId="4C96F301" w:rsidR="00DC6CC0" w:rsidRDefault="00DC6CC0">
      <w:pPr>
        <w:pStyle w:val="CommentText"/>
      </w:pPr>
      <w:r>
        <w:rPr>
          <w:rStyle w:val="CommentReference"/>
        </w:rPr>
        <w:annotationRef/>
      </w:r>
      <w:r>
        <w:t>Not clear whether this is a general result, or one that only applies to Robert’s model in the form he’s written it.</w:t>
      </w:r>
    </w:p>
  </w:comment>
  <w:comment w:id="57" w:author="Shyamal Patel" w:date="2018-03-08T19:22:00Z" w:initials="SP">
    <w:p w14:paraId="4654F314" w14:textId="42223AD4" w:rsidR="00DA2D51" w:rsidRDefault="008A285C">
      <w:pPr>
        <w:pStyle w:val="CommentText"/>
      </w:pPr>
      <w:r w:rsidRPr="008A285C">
        <w:rPr>
          <w:rStyle w:val="CommentReference"/>
          <w:color w:val="FF0000"/>
        </w:rPr>
        <w:annotationRef/>
      </w:r>
      <w:r w:rsidRPr="008A285C">
        <w:rPr>
          <w:color w:val="FF0000"/>
        </w:rPr>
        <w:t>To discuss generality of this result.</w:t>
      </w:r>
    </w:p>
  </w:comment>
  <w:comment w:id="58" w:author="Shyamal Patel" w:date="2018-03-09T11:55:00Z" w:initials="SP">
    <w:p w14:paraId="37AE41C8" w14:textId="737BB729" w:rsidR="00BB7BA5" w:rsidRDefault="00BB7BA5">
      <w:pPr>
        <w:pStyle w:val="CommentText"/>
      </w:pPr>
      <w:r w:rsidRPr="00B80A43">
        <w:rPr>
          <w:rStyle w:val="CommentReference"/>
          <w:color w:val="FF0000"/>
        </w:rPr>
        <w:annotationRef/>
      </w:r>
      <w:r w:rsidR="008A285C" w:rsidRPr="008A285C">
        <w:rPr>
          <w:rStyle w:val="CommentReference"/>
          <w:color w:val="FF0000"/>
        </w:rPr>
        <w:annotationRef/>
      </w:r>
      <w:r w:rsidR="008A285C" w:rsidRPr="008A285C">
        <w:rPr>
          <w:color w:val="FF0000"/>
        </w:rPr>
        <w:t>To discuss generality of this result.</w:t>
      </w:r>
    </w:p>
  </w:comment>
  <w:comment w:id="59" w:author="Shyamal Patel" w:date="2018-03-09T11:57:00Z" w:initials="SP">
    <w:p w14:paraId="5C13C5A0" w14:textId="63CB3A7D" w:rsidR="004F3C48" w:rsidRDefault="004F3C48">
      <w:pPr>
        <w:pStyle w:val="CommentText"/>
      </w:pPr>
      <w:r w:rsidRPr="008A285C">
        <w:rPr>
          <w:rStyle w:val="CommentReference"/>
          <w:color w:val="FF0000"/>
        </w:rPr>
        <w:annotationRef/>
      </w:r>
      <w:r w:rsidRPr="008A285C">
        <w:rPr>
          <w:color w:val="FF0000"/>
        </w:rPr>
        <w:t>To discuss generality of this result.</w:t>
      </w:r>
    </w:p>
  </w:comment>
  <w:comment w:id="61" w:author="Shyamal Patel" w:date="2018-03-08T16:27:00Z" w:initials="SP">
    <w:p w14:paraId="074997FB" w14:textId="77777777" w:rsidR="003D2E37" w:rsidRDefault="003D2E37">
      <w:pPr>
        <w:pStyle w:val="CommentText"/>
      </w:pPr>
      <w:r>
        <w:rPr>
          <w:rStyle w:val="CommentReference"/>
        </w:rPr>
        <w:annotationRef/>
      </w:r>
      <w:r>
        <w:t>Based on the definition of the average cost pass through rate as change in price divided by change in average unit cost.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E2792" w15:done="0"/>
  <w15:commentEx w15:paraId="3D8CF566" w15:done="0"/>
  <w15:commentEx w15:paraId="764CC765" w15:done="0"/>
  <w15:commentEx w15:paraId="3D406B3F" w15:done="0"/>
  <w15:commentEx w15:paraId="51866B65" w15:done="0"/>
  <w15:commentEx w15:paraId="28225A93" w15:done="0"/>
  <w15:commentEx w15:paraId="2E830323" w15:done="0"/>
  <w15:commentEx w15:paraId="4856D5E1" w15:done="0"/>
  <w15:commentEx w15:paraId="1DBF0293" w15:done="0"/>
  <w15:commentEx w15:paraId="18220329" w15:done="0"/>
  <w15:commentEx w15:paraId="3F83886E" w15:done="0"/>
  <w15:commentEx w15:paraId="388A847D" w15:done="0"/>
  <w15:commentEx w15:paraId="72C2B5D7" w15:done="0"/>
  <w15:commentEx w15:paraId="51D553C7" w15:done="0"/>
  <w15:commentEx w15:paraId="70BECA05" w15:done="0"/>
  <w15:commentEx w15:paraId="38563506" w15:done="0"/>
  <w15:commentEx w15:paraId="01D70B99" w15:done="0"/>
  <w15:commentEx w15:paraId="0D4B15DF" w15:done="0"/>
  <w15:commentEx w15:paraId="15FA1276" w15:done="0"/>
  <w15:commentEx w15:paraId="6CC2D582" w15:done="0"/>
  <w15:commentEx w15:paraId="6389BAD7" w15:done="0"/>
  <w15:commentEx w15:paraId="4654F314" w15:done="0"/>
  <w15:commentEx w15:paraId="37AE41C8" w15:done="0"/>
  <w15:commentEx w15:paraId="5C13C5A0" w15:done="0"/>
  <w15:commentEx w15:paraId="074997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E2792" w16cid:durableId="1E484276"/>
  <w16cid:commentId w16cid:paraId="3D8CF566" w16cid:durableId="1E484D3E"/>
  <w16cid:commentId w16cid:paraId="764CC765" w16cid:durableId="1E484D90"/>
  <w16cid:commentId w16cid:paraId="3D406B3F" w16cid:durableId="1E4853EC"/>
  <w16cid:commentId w16cid:paraId="51866B65" w16cid:durableId="20A0B55B"/>
  <w16cid:commentId w16cid:paraId="28225A93" w16cid:durableId="1E48EDC0"/>
  <w16cid:commentId w16cid:paraId="2E830323" w16cid:durableId="1E4858A1"/>
  <w16cid:commentId w16cid:paraId="4856D5E1" w16cid:durableId="1E48FC20"/>
  <w16cid:commentId w16cid:paraId="1DBF0293" w16cid:durableId="20A0B55F"/>
  <w16cid:commentId w16cid:paraId="18220329" w16cid:durableId="20A0B560"/>
  <w16cid:commentId w16cid:paraId="3F83886E" w16cid:durableId="20A0B561"/>
  <w16cid:commentId w16cid:paraId="388A847D" w16cid:durableId="1E4AABAB"/>
  <w16cid:commentId w16cid:paraId="72C2B5D7" w16cid:durableId="20A0B563"/>
  <w16cid:commentId w16cid:paraId="51D553C7" w16cid:durableId="1E494D3F"/>
  <w16cid:commentId w16cid:paraId="70BECA05" w16cid:durableId="1E4A7D57"/>
  <w16cid:commentId w16cid:paraId="38563506" w16cid:durableId="20A0B566"/>
  <w16cid:commentId w16cid:paraId="01D70B99" w16cid:durableId="1E4ABCF5"/>
  <w16cid:commentId w16cid:paraId="0D4B15DF" w16cid:durableId="1E4BF205"/>
  <w16cid:commentId w16cid:paraId="15FA1276" w16cid:durableId="1E4BFDF3"/>
  <w16cid:commentId w16cid:paraId="6CC2D582" w16cid:durableId="1E4BFABB"/>
  <w16cid:commentId w16cid:paraId="6389BAD7" w16cid:durableId="1E4C044B"/>
  <w16cid:commentId w16cid:paraId="4654F314" w16cid:durableId="1E4C0BF8"/>
  <w16cid:commentId w16cid:paraId="37AE41C8" w16cid:durableId="1E4CF49A"/>
  <w16cid:commentId w16cid:paraId="5C13C5A0" w16cid:durableId="1E4CF52D"/>
  <w16cid:commentId w16cid:paraId="074997FB" w16cid:durableId="20A0B5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33621" w14:textId="77777777" w:rsidR="008946B2" w:rsidRDefault="008946B2" w:rsidP="00AB14FC">
      <w:r>
        <w:separator/>
      </w:r>
    </w:p>
  </w:endnote>
  <w:endnote w:type="continuationSeparator" w:id="0">
    <w:p w14:paraId="3F689494" w14:textId="77777777" w:rsidR="008946B2" w:rsidRDefault="008946B2" w:rsidP="00AB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95FEC" w14:textId="4E92BA8D" w:rsidR="003B484E" w:rsidRPr="00AB14FC" w:rsidRDefault="008946B2" w:rsidP="00AB14FC">
    <w:pPr>
      <w:pStyle w:val="Footer"/>
      <w:jc w:val="center"/>
      <w:rPr>
        <w:rFonts w:ascii="Palatino Linotype" w:hAnsi="Palatino Linotype"/>
        <w:sz w:val="18"/>
        <w:szCs w:val="18"/>
      </w:rPr>
    </w:pPr>
    <w:sdt>
      <w:sdtPr>
        <w:id w:val="17136464"/>
        <w:docPartObj>
          <w:docPartGallery w:val="Page Numbers (Bottom of Page)"/>
          <w:docPartUnique/>
        </w:docPartObj>
      </w:sdtPr>
      <w:sdtEndPr>
        <w:rPr>
          <w:rFonts w:ascii="Palatino Linotype" w:hAnsi="Palatino Linotype"/>
          <w:sz w:val="18"/>
          <w:szCs w:val="18"/>
        </w:rPr>
      </w:sdtEndPr>
      <w:sdtContent>
        <w:r w:rsidR="003B484E" w:rsidRPr="00AB14FC">
          <w:rPr>
            <w:rFonts w:ascii="Palatino Linotype" w:hAnsi="Palatino Linotype"/>
            <w:sz w:val="18"/>
            <w:szCs w:val="18"/>
          </w:rPr>
          <w:fldChar w:fldCharType="begin"/>
        </w:r>
        <w:r w:rsidR="003B484E" w:rsidRPr="00AB14FC">
          <w:rPr>
            <w:rFonts w:ascii="Palatino Linotype" w:hAnsi="Palatino Linotype"/>
            <w:sz w:val="18"/>
            <w:szCs w:val="18"/>
          </w:rPr>
          <w:instrText xml:space="preserve"> PAGE   \* MERGEFORMAT </w:instrTex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separate"/>
        </w:r>
        <w:r w:rsidR="002408E9">
          <w:rPr>
            <w:rFonts w:ascii="Palatino Linotype" w:hAnsi="Palatino Linotype"/>
            <w:noProof/>
            <w:sz w:val="18"/>
            <w:szCs w:val="18"/>
          </w:rPr>
          <w:t>7</w:t>
        </w:r>
        <w:r w:rsidR="003B484E" w:rsidRPr="00AB14FC">
          <w:rPr>
            <w:rFonts w:ascii="Palatino Linotype" w:hAnsi="Palatino Linotype"/>
            <w:sz w:val="18"/>
            <w:szCs w:val="18"/>
          </w:rPr>
          <w:fldChar w:fldCharType="end"/>
        </w:r>
      </w:sdtContent>
    </w:sdt>
  </w:p>
  <w:p w14:paraId="5B71BE52" w14:textId="77777777" w:rsidR="003B484E" w:rsidRDefault="003B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B46A" w14:textId="622B1637" w:rsidR="003B484E" w:rsidRDefault="000907AF" w:rsidP="00CA54EA">
    <w:pPr>
      <w:pStyle w:val="Footer"/>
      <w:jc w:val="right"/>
    </w:pPr>
    <w:r>
      <w:t>Shyamal Patel</w:t>
    </w:r>
  </w:p>
  <w:p w14:paraId="70679E9E" w14:textId="2E9EEEA9" w:rsidR="003B484E" w:rsidRDefault="000907AF" w:rsidP="00CA54EA">
    <w:pPr>
      <w:pStyle w:val="Footer"/>
      <w:jc w:val="right"/>
    </w:pPr>
    <w:r>
      <w:t>05/03/2018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DEC4" w14:textId="77777777" w:rsidR="008946B2" w:rsidRDefault="008946B2" w:rsidP="00AB14FC">
      <w:r>
        <w:separator/>
      </w:r>
    </w:p>
  </w:footnote>
  <w:footnote w:type="continuationSeparator" w:id="0">
    <w:p w14:paraId="2A4C0BCC" w14:textId="77777777" w:rsidR="008946B2" w:rsidRDefault="008946B2" w:rsidP="00AB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E4F43" w14:textId="77777777" w:rsidR="003B484E" w:rsidRDefault="003B484E" w:rsidP="00696387">
    <w:pPr>
      <w:pStyle w:val="Header"/>
      <w:spacing w:line="240" w:lineRule="auto"/>
    </w:pPr>
    <w:r w:rsidRPr="00AB14FC">
      <w:drawing>
        <wp:inline distT="0" distB="0" distL="0" distR="0" wp14:anchorId="69DD4F59" wp14:editId="6A3A0290">
          <wp:extent cx="2019300" cy="200025"/>
          <wp:effectExtent l="19050" t="0" r="0" b="0"/>
          <wp:docPr id="1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9D38AE3" w14:textId="77777777" w:rsidR="003B484E" w:rsidRDefault="003B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3FD3" w14:textId="77777777" w:rsidR="003B484E" w:rsidRDefault="003B484E" w:rsidP="00352AB1">
    <w:pPr>
      <w:pStyle w:val="Header"/>
      <w:spacing w:line="240" w:lineRule="auto"/>
    </w:pPr>
    <w:r>
      <w:drawing>
        <wp:anchor distT="0" distB="0" distL="114300" distR="114300" simplePos="0" relativeHeight="251658240" behindDoc="0" locked="0" layoutInCell="1" allowOverlap="1" wp14:anchorId="4E814A78" wp14:editId="5112B69C">
          <wp:simplePos x="0" y="0"/>
          <wp:positionH relativeFrom="margin">
            <wp:posOffset>4152900</wp:posOffset>
          </wp:positionH>
          <wp:positionV relativeFrom="margin">
            <wp:posOffset>-395605</wp:posOffset>
          </wp:positionV>
          <wp:extent cx="2019300" cy="200025"/>
          <wp:effectExtent l="19050" t="0" r="0" b="0"/>
          <wp:wrapSquare wrapText="bothSides"/>
          <wp:docPr id="5" name="Picture 1" descr="C:\Users\VIVIDA~1\AppData\AppData\Local\Microsoft\Windows\Temporary Internet Files\Content.Outlook\D1INUWPC\January\Macintosh HD:Users:charlottedewar:Desktop:people brands work:Robin's project:artwork:logo:vivid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DA~1\AppData\AppData\Local\Microsoft\Windows\Temporary Internet Files\Content.Outlook\D1INUWPC\January\Macintosh HD:Users:charlottedewar:Desktop:people brands work:Robin's project:artwork:logo:vivid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39629C" w14:textId="77777777" w:rsidR="003B484E" w:rsidRDefault="003B484E" w:rsidP="007E1EF4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3778"/>
    <w:multiLevelType w:val="hybridMultilevel"/>
    <w:tmpl w:val="06845FFE"/>
    <w:lvl w:ilvl="0" w:tplc="0C9E7D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112F5"/>
    <w:multiLevelType w:val="hybridMultilevel"/>
    <w:tmpl w:val="C92C42BE"/>
    <w:lvl w:ilvl="0" w:tplc="739EDDD4">
      <w:start w:val="1"/>
      <w:numFmt w:val="decimal"/>
      <w:pStyle w:val="Charttitle"/>
      <w:lvlText w:val="Figure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0DFD"/>
    <w:multiLevelType w:val="hybridMultilevel"/>
    <w:tmpl w:val="DB5E3B3E"/>
    <w:lvl w:ilvl="0" w:tplc="937EB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54A5F"/>
    <w:multiLevelType w:val="hybridMultilevel"/>
    <w:tmpl w:val="CEFC14BA"/>
    <w:lvl w:ilvl="0" w:tplc="81588DA0">
      <w:start w:val="1"/>
      <w:numFmt w:val="decimal"/>
      <w:pStyle w:val="Boxtitle"/>
      <w:lvlText w:val="Box %1."/>
      <w:lvlJc w:val="left"/>
      <w:pPr>
        <w:ind w:left="360" w:hanging="360"/>
      </w:pPr>
      <w:rPr>
        <w:rFonts w:ascii="Cambria" w:hAnsi="Cambria" w:hint="default"/>
        <w:b w:val="0"/>
        <w:i/>
        <w:caps w:val="0"/>
        <w:strike w:val="0"/>
        <w:dstrike w:val="0"/>
        <w:vanish w:val="0"/>
        <w:color w:val="000000" w:themeColor="text1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278"/>
    <w:multiLevelType w:val="multilevel"/>
    <w:tmpl w:val="FA7061F0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55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6F0B25"/>
    <w:multiLevelType w:val="hybridMultilevel"/>
    <w:tmpl w:val="ABCE7DF8"/>
    <w:lvl w:ilvl="0" w:tplc="AA1217A2">
      <w:numFmt w:val="bullet"/>
      <w:pStyle w:val="Dashedbullets"/>
      <w:lvlText w:val="—"/>
      <w:lvlJc w:val="left"/>
      <w:pPr>
        <w:ind w:left="360" w:hanging="360"/>
      </w:pPr>
      <w:rPr>
        <w:rFonts w:ascii="Arial" w:eastAsiaTheme="minorHAnsi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A2B25"/>
    <w:multiLevelType w:val="hybridMultilevel"/>
    <w:tmpl w:val="C074C6BC"/>
    <w:lvl w:ilvl="0" w:tplc="5306719A">
      <w:start w:val="1"/>
      <w:numFmt w:val="decimal"/>
      <w:pStyle w:val="Tabletitle"/>
      <w:lvlText w:val="Table %1."/>
      <w:lvlJc w:val="left"/>
      <w:pPr>
        <w:ind w:left="360" w:hanging="360"/>
      </w:pPr>
      <w:rPr>
        <w:rFonts w:ascii="Cambria" w:hAnsi="Cambria"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10D3"/>
    <w:multiLevelType w:val="hybridMultilevel"/>
    <w:tmpl w:val="6D4218D6"/>
    <w:lvl w:ilvl="0" w:tplc="F6C20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44BC"/>
    <w:multiLevelType w:val="hybridMultilevel"/>
    <w:tmpl w:val="0520F66E"/>
    <w:lvl w:ilvl="0" w:tplc="5998A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F4511"/>
    <w:multiLevelType w:val="hybridMultilevel"/>
    <w:tmpl w:val="16807E8A"/>
    <w:lvl w:ilvl="0" w:tplc="DA86F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6"/>
  </w:num>
  <w:num w:numId="16">
    <w:abstractNumId w:val="4"/>
  </w:num>
  <w:num w:numId="17">
    <w:abstractNumId w:val="9"/>
  </w:num>
  <w:num w:numId="18">
    <w:abstractNumId w:val="8"/>
  </w:num>
  <w:num w:numId="19">
    <w:abstractNumId w:val="7"/>
  </w:num>
  <w:num w:numId="20">
    <w:abstractNumId w:val="0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yamal Patel">
    <w15:presenceInfo w15:providerId="None" w15:userId="Shyamal Pa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7"/>
    <w:rsid w:val="0000400B"/>
    <w:rsid w:val="000112F2"/>
    <w:rsid w:val="000113BD"/>
    <w:rsid w:val="000122F5"/>
    <w:rsid w:val="00012CCA"/>
    <w:rsid w:val="00014009"/>
    <w:rsid w:val="000206D6"/>
    <w:rsid w:val="000216BF"/>
    <w:rsid w:val="00023048"/>
    <w:rsid w:val="00024A9B"/>
    <w:rsid w:val="000250BD"/>
    <w:rsid w:val="00025202"/>
    <w:rsid w:val="00025621"/>
    <w:rsid w:val="00026855"/>
    <w:rsid w:val="000318AF"/>
    <w:rsid w:val="00031FCE"/>
    <w:rsid w:val="00032751"/>
    <w:rsid w:val="00035FD6"/>
    <w:rsid w:val="00037851"/>
    <w:rsid w:val="00037C34"/>
    <w:rsid w:val="00043048"/>
    <w:rsid w:val="00043A7C"/>
    <w:rsid w:val="00043B83"/>
    <w:rsid w:val="00043F18"/>
    <w:rsid w:val="0004546E"/>
    <w:rsid w:val="00045E57"/>
    <w:rsid w:val="00051539"/>
    <w:rsid w:val="0005163B"/>
    <w:rsid w:val="00055978"/>
    <w:rsid w:val="00056242"/>
    <w:rsid w:val="00056F84"/>
    <w:rsid w:val="00061ED8"/>
    <w:rsid w:val="00063E15"/>
    <w:rsid w:val="00065D67"/>
    <w:rsid w:val="00067B2F"/>
    <w:rsid w:val="000709A3"/>
    <w:rsid w:val="00071809"/>
    <w:rsid w:val="000719B5"/>
    <w:rsid w:val="0007658E"/>
    <w:rsid w:val="00080473"/>
    <w:rsid w:val="00082667"/>
    <w:rsid w:val="0008279D"/>
    <w:rsid w:val="00084CD9"/>
    <w:rsid w:val="000865F9"/>
    <w:rsid w:val="000867C6"/>
    <w:rsid w:val="00086F90"/>
    <w:rsid w:val="000907AF"/>
    <w:rsid w:val="00090E25"/>
    <w:rsid w:val="00091D2B"/>
    <w:rsid w:val="0009253E"/>
    <w:rsid w:val="000968B1"/>
    <w:rsid w:val="00097660"/>
    <w:rsid w:val="00097AA9"/>
    <w:rsid w:val="00097D50"/>
    <w:rsid w:val="000A27F4"/>
    <w:rsid w:val="000A678F"/>
    <w:rsid w:val="000B045A"/>
    <w:rsid w:val="000B0F49"/>
    <w:rsid w:val="000B1B84"/>
    <w:rsid w:val="000B3D7D"/>
    <w:rsid w:val="000C0050"/>
    <w:rsid w:val="000C6C31"/>
    <w:rsid w:val="000D0B33"/>
    <w:rsid w:val="000D1ED6"/>
    <w:rsid w:val="000D2554"/>
    <w:rsid w:val="000D5314"/>
    <w:rsid w:val="000E1770"/>
    <w:rsid w:val="000E2F4C"/>
    <w:rsid w:val="000E3362"/>
    <w:rsid w:val="000E365C"/>
    <w:rsid w:val="000E47C0"/>
    <w:rsid w:val="000E4B02"/>
    <w:rsid w:val="000E5B8E"/>
    <w:rsid w:val="000E60BC"/>
    <w:rsid w:val="000E67E1"/>
    <w:rsid w:val="000E7B74"/>
    <w:rsid w:val="000F15BE"/>
    <w:rsid w:val="000F1F6E"/>
    <w:rsid w:val="000F2B31"/>
    <w:rsid w:val="000F4312"/>
    <w:rsid w:val="000F473F"/>
    <w:rsid w:val="001000A1"/>
    <w:rsid w:val="0010071A"/>
    <w:rsid w:val="00100777"/>
    <w:rsid w:val="001008D2"/>
    <w:rsid w:val="00100C74"/>
    <w:rsid w:val="001046B6"/>
    <w:rsid w:val="00105E0D"/>
    <w:rsid w:val="00107F38"/>
    <w:rsid w:val="001133F1"/>
    <w:rsid w:val="001148A6"/>
    <w:rsid w:val="00114A06"/>
    <w:rsid w:val="0011513A"/>
    <w:rsid w:val="001168AF"/>
    <w:rsid w:val="00116E00"/>
    <w:rsid w:val="001211B8"/>
    <w:rsid w:val="00122C3A"/>
    <w:rsid w:val="00122EBE"/>
    <w:rsid w:val="00123A56"/>
    <w:rsid w:val="00124CAD"/>
    <w:rsid w:val="00127C03"/>
    <w:rsid w:val="00130B59"/>
    <w:rsid w:val="00131BE5"/>
    <w:rsid w:val="00131DBD"/>
    <w:rsid w:val="0013708F"/>
    <w:rsid w:val="001443A6"/>
    <w:rsid w:val="00146ACD"/>
    <w:rsid w:val="0015039F"/>
    <w:rsid w:val="0015350F"/>
    <w:rsid w:val="00154C1D"/>
    <w:rsid w:val="001567D2"/>
    <w:rsid w:val="0016123A"/>
    <w:rsid w:val="001618FE"/>
    <w:rsid w:val="00170384"/>
    <w:rsid w:val="00170726"/>
    <w:rsid w:val="001726F2"/>
    <w:rsid w:val="0018398F"/>
    <w:rsid w:val="00183C3B"/>
    <w:rsid w:val="00186750"/>
    <w:rsid w:val="0019039A"/>
    <w:rsid w:val="001919E0"/>
    <w:rsid w:val="00192E9F"/>
    <w:rsid w:val="00193670"/>
    <w:rsid w:val="00193C9F"/>
    <w:rsid w:val="001A2AE8"/>
    <w:rsid w:val="001A2E2E"/>
    <w:rsid w:val="001A4973"/>
    <w:rsid w:val="001A7F7D"/>
    <w:rsid w:val="001B237C"/>
    <w:rsid w:val="001B43A0"/>
    <w:rsid w:val="001B54C3"/>
    <w:rsid w:val="001B5582"/>
    <w:rsid w:val="001B565D"/>
    <w:rsid w:val="001B56CF"/>
    <w:rsid w:val="001C0469"/>
    <w:rsid w:val="001C4320"/>
    <w:rsid w:val="001C4B1C"/>
    <w:rsid w:val="001D1136"/>
    <w:rsid w:val="001D15E8"/>
    <w:rsid w:val="001D23DF"/>
    <w:rsid w:val="001D4DA6"/>
    <w:rsid w:val="001D5E27"/>
    <w:rsid w:val="001D7DCC"/>
    <w:rsid w:val="001E2146"/>
    <w:rsid w:val="001E22D5"/>
    <w:rsid w:val="001E29EF"/>
    <w:rsid w:val="001E35E8"/>
    <w:rsid w:val="001E46AF"/>
    <w:rsid w:val="001F15BB"/>
    <w:rsid w:val="001F3407"/>
    <w:rsid w:val="001F71E8"/>
    <w:rsid w:val="00201782"/>
    <w:rsid w:val="00202234"/>
    <w:rsid w:val="0020303A"/>
    <w:rsid w:val="00203342"/>
    <w:rsid w:val="00203EEC"/>
    <w:rsid w:val="0021038A"/>
    <w:rsid w:val="002113EF"/>
    <w:rsid w:val="00212EF8"/>
    <w:rsid w:val="0021336C"/>
    <w:rsid w:val="00216DBC"/>
    <w:rsid w:val="00216EA5"/>
    <w:rsid w:val="002172E7"/>
    <w:rsid w:val="00221D2A"/>
    <w:rsid w:val="0022414B"/>
    <w:rsid w:val="00225679"/>
    <w:rsid w:val="00230F01"/>
    <w:rsid w:val="002312F7"/>
    <w:rsid w:val="0023191E"/>
    <w:rsid w:val="002408E9"/>
    <w:rsid w:val="002427B6"/>
    <w:rsid w:val="00244A12"/>
    <w:rsid w:val="00244DC2"/>
    <w:rsid w:val="002461F1"/>
    <w:rsid w:val="00254C9C"/>
    <w:rsid w:val="0025564A"/>
    <w:rsid w:val="00256096"/>
    <w:rsid w:val="00262B32"/>
    <w:rsid w:val="00266CC1"/>
    <w:rsid w:val="0026747B"/>
    <w:rsid w:val="0027121E"/>
    <w:rsid w:val="00273742"/>
    <w:rsid w:val="002764CA"/>
    <w:rsid w:val="00277DEC"/>
    <w:rsid w:val="00281970"/>
    <w:rsid w:val="00282B17"/>
    <w:rsid w:val="002861E7"/>
    <w:rsid w:val="0029085B"/>
    <w:rsid w:val="00290A09"/>
    <w:rsid w:val="00290FB1"/>
    <w:rsid w:val="002921FD"/>
    <w:rsid w:val="00292EF9"/>
    <w:rsid w:val="00293D52"/>
    <w:rsid w:val="00294BFD"/>
    <w:rsid w:val="00295AB5"/>
    <w:rsid w:val="00296832"/>
    <w:rsid w:val="00297908"/>
    <w:rsid w:val="002A2262"/>
    <w:rsid w:val="002A248F"/>
    <w:rsid w:val="002A46A0"/>
    <w:rsid w:val="002A5173"/>
    <w:rsid w:val="002A7556"/>
    <w:rsid w:val="002A758A"/>
    <w:rsid w:val="002A7B27"/>
    <w:rsid w:val="002A7DDA"/>
    <w:rsid w:val="002A7F7D"/>
    <w:rsid w:val="002B4A1E"/>
    <w:rsid w:val="002B670E"/>
    <w:rsid w:val="002B6A93"/>
    <w:rsid w:val="002C2240"/>
    <w:rsid w:val="002C22C5"/>
    <w:rsid w:val="002C321A"/>
    <w:rsid w:val="002C33B3"/>
    <w:rsid w:val="002C3D53"/>
    <w:rsid w:val="002C49D0"/>
    <w:rsid w:val="002D34D5"/>
    <w:rsid w:val="002D39FD"/>
    <w:rsid w:val="002D4A1B"/>
    <w:rsid w:val="002D50A9"/>
    <w:rsid w:val="002D799B"/>
    <w:rsid w:val="002E1975"/>
    <w:rsid w:val="002E21D2"/>
    <w:rsid w:val="002E2504"/>
    <w:rsid w:val="002E2B91"/>
    <w:rsid w:val="002E307A"/>
    <w:rsid w:val="002F0FEB"/>
    <w:rsid w:val="002F26B0"/>
    <w:rsid w:val="002F31FB"/>
    <w:rsid w:val="002F39C0"/>
    <w:rsid w:val="002F3E0C"/>
    <w:rsid w:val="002F4B83"/>
    <w:rsid w:val="002F5263"/>
    <w:rsid w:val="002F5B43"/>
    <w:rsid w:val="002F76BC"/>
    <w:rsid w:val="003018C7"/>
    <w:rsid w:val="0030436C"/>
    <w:rsid w:val="00304485"/>
    <w:rsid w:val="00304CB3"/>
    <w:rsid w:val="003054AF"/>
    <w:rsid w:val="00310A8C"/>
    <w:rsid w:val="00316460"/>
    <w:rsid w:val="003226FB"/>
    <w:rsid w:val="0032283B"/>
    <w:rsid w:val="00323A0D"/>
    <w:rsid w:val="00326122"/>
    <w:rsid w:val="00333D7F"/>
    <w:rsid w:val="00336343"/>
    <w:rsid w:val="003366CE"/>
    <w:rsid w:val="0033758E"/>
    <w:rsid w:val="0034269E"/>
    <w:rsid w:val="00342A81"/>
    <w:rsid w:val="00342CF7"/>
    <w:rsid w:val="00344657"/>
    <w:rsid w:val="003455C8"/>
    <w:rsid w:val="00352478"/>
    <w:rsid w:val="00352AB1"/>
    <w:rsid w:val="003543D2"/>
    <w:rsid w:val="0035473D"/>
    <w:rsid w:val="00360EE0"/>
    <w:rsid w:val="0036349A"/>
    <w:rsid w:val="00365F96"/>
    <w:rsid w:val="003661DE"/>
    <w:rsid w:val="00366924"/>
    <w:rsid w:val="00374786"/>
    <w:rsid w:val="00375EE7"/>
    <w:rsid w:val="00376B9C"/>
    <w:rsid w:val="003770C4"/>
    <w:rsid w:val="00382A0A"/>
    <w:rsid w:val="0038332E"/>
    <w:rsid w:val="003867EB"/>
    <w:rsid w:val="00387C27"/>
    <w:rsid w:val="003928F0"/>
    <w:rsid w:val="00393E6E"/>
    <w:rsid w:val="00394BFA"/>
    <w:rsid w:val="00395326"/>
    <w:rsid w:val="003A7BD8"/>
    <w:rsid w:val="003B0BEA"/>
    <w:rsid w:val="003B484E"/>
    <w:rsid w:val="003B4C0D"/>
    <w:rsid w:val="003B4C10"/>
    <w:rsid w:val="003B613E"/>
    <w:rsid w:val="003B72D3"/>
    <w:rsid w:val="003C1AC9"/>
    <w:rsid w:val="003D1201"/>
    <w:rsid w:val="003D1D35"/>
    <w:rsid w:val="003D2E37"/>
    <w:rsid w:val="003D6301"/>
    <w:rsid w:val="003D69FB"/>
    <w:rsid w:val="003D6A7E"/>
    <w:rsid w:val="003E0C20"/>
    <w:rsid w:val="003E4DB9"/>
    <w:rsid w:val="003E5FD2"/>
    <w:rsid w:val="003F0AA5"/>
    <w:rsid w:val="003F5460"/>
    <w:rsid w:val="003F68A3"/>
    <w:rsid w:val="003F7EA1"/>
    <w:rsid w:val="0040487E"/>
    <w:rsid w:val="00406C10"/>
    <w:rsid w:val="0041109F"/>
    <w:rsid w:val="004119BD"/>
    <w:rsid w:val="00411A14"/>
    <w:rsid w:val="004126F0"/>
    <w:rsid w:val="00415478"/>
    <w:rsid w:val="00420A9E"/>
    <w:rsid w:val="00424B82"/>
    <w:rsid w:val="0042658A"/>
    <w:rsid w:val="00430309"/>
    <w:rsid w:val="00434051"/>
    <w:rsid w:val="00437DA8"/>
    <w:rsid w:val="004419CE"/>
    <w:rsid w:val="004420E4"/>
    <w:rsid w:val="00442810"/>
    <w:rsid w:val="00446014"/>
    <w:rsid w:val="004514ED"/>
    <w:rsid w:val="00451B39"/>
    <w:rsid w:val="00453100"/>
    <w:rsid w:val="00454063"/>
    <w:rsid w:val="0045464C"/>
    <w:rsid w:val="004552C0"/>
    <w:rsid w:val="00455E49"/>
    <w:rsid w:val="00462343"/>
    <w:rsid w:val="00467033"/>
    <w:rsid w:val="0046752E"/>
    <w:rsid w:val="00467666"/>
    <w:rsid w:val="00467B7A"/>
    <w:rsid w:val="00467D3A"/>
    <w:rsid w:val="00471432"/>
    <w:rsid w:val="00472C55"/>
    <w:rsid w:val="004744F5"/>
    <w:rsid w:val="00474C7D"/>
    <w:rsid w:val="004776AA"/>
    <w:rsid w:val="00480859"/>
    <w:rsid w:val="00481189"/>
    <w:rsid w:val="00482132"/>
    <w:rsid w:val="00483800"/>
    <w:rsid w:val="00485019"/>
    <w:rsid w:val="004850EA"/>
    <w:rsid w:val="00487F22"/>
    <w:rsid w:val="0049096F"/>
    <w:rsid w:val="004914EB"/>
    <w:rsid w:val="00492719"/>
    <w:rsid w:val="004938BD"/>
    <w:rsid w:val="00493B0F"/>
    <w:rsid w:val="00496100"/>
    <w:rsid w:val="004A6628"/>
    <w:rsid w:val="004A66B0"/>
    <w:rsid w:val="004A6D7C"/>
    <w:rsid w:val="004A6DD1"/>
    <w:rsid w:val="004B1F63"/>
    <w:rsid w:val="004B5178"/>
    <w:rsid w:val="004B725A"/>
    <w:rsid w:val="004C0064"/>
    <w:rsid w:val="004C03FD"/>
    <w:rsid w:val="004C20DC"/>
    <w:rsid w:val="004C224A"/>
    <w:rsid w:val="004D21AA"/>
    <w:rsid w:val="004D2ECE"/>
    <w:rsid w:val="004D37A2"/>
    <w:rsid w:val="004D3EEE"/>
    <w:rsid w:val="004D723C"/>
    <w:rsid w:val="004E1DF0"/>
    <w:rsid w:val="004E3458"/>
    <w:rsid w:val="004E541A"/>
    <w:rsid w:val="004E6DA4"/>
    <w:rsid w:val="004E7E13"/>
    <w:rsid w:val="004F0C6A"/>
    <w:rsid w:val="004F3C48"/>
    <w:rsid w:val="00500BE0"/>
    <w:rsid w:val="00500E29"/>
    <w:rsid w:val="00501C3B"/>
    <w:rsid w:val="00505373"/>
    <w:rsid w:val="00505FF0"/>
    <w:rsid w:val="005108A7"/>
    <w:rsid w:val="005109E4"/>
    <w:rsid w:val="00510E4B"/>
    <w:rsid w:val="00511510"/>
    <w:rsid w:val="005130DB"/>
    <w:rsid w:val="00514FEB"/>
    <w:rsid w:val="00515085"/>
    <w:rsid w:val="00515438"/>
    <w:rsid w:val="00515D7F"/>
    <w:rsid w:val="00515EC3"/>
    <w:rsid w:val="005168BD"/>
    <w:rsid w:val="00521E3F"/>
    <w:rsid w:val="005222D6"/>
    <w:rsid w:val="00522CB6"/>
    <w:rsid w:val="00524097"/>
    <w:rsid w:val="00524874"/>
    <w:rsid w:val="00532DB2"/>
    <w:rsid w:val="00534CAA"/>
    <w:rsid w:val="00540869"/>
    <w:rsid w:val="0054393F"/>
    <w:rsid w:val="00547A99"/>
    <w:rsid w:val="00547F1C"/>
    <w:rsid w:val="00550B7F"/>
    <w:rsid w:val="00550C70"/>
    <w:rsid w:val="00551252"/>
    <w:rsid w:val="005535A1"/>
    <w:rsid w:val="00553DF5"/>
    <w:rsid w:val="00554598"/>
    <w:rsid w:val="00554F62"/>
    <w:rsid w:val="005554B3"/>
    <w:rsid w:val="00556181"/>
    <w:rsid w:val="0055771B"/>
    <w:rsid w:val="00557BAF"/>
    <w:rsid w:val="00561207"/>
    <w:rsid w:val="00561E3A"/>
    <w:rsid w:val="00561FF0"/>
    <w:rsid w:val="0056227F"/>
    <w:rsid w:val="00563818"/>
    <w:rsid w:val="00563A4D"/>
    <w:rsid w:val="00572BCC"/>
    <w:rsid w:val="00573207"/>
    <w:rsid w:val="00580170"/>
    <w:rsid w:val="00586B54"/>
    <w:rsid w:val="00586E18"/>
    <w:rsid w:val="00587434"/>
    <w:rsid w:val="00587B68"/>
    <w:rsid w:val="00594A61"/>
    <w:rsid w:val="00595FE1"/>
    <w:rsid w:val="005A146A"/>
    <w:rsid w:val="005A5C25"/>
    <w:rsid w:val="005B073A"/>
    <w:rsid w:val="005B089B"/>
    <w:rsid w:val="005B69F8"/>
    <w:rsid w:val="005B70DC"/>
    <w:rsid w:val="005B7244"/>
    <w:rsid w:val="005B7713"/>
    <w:rsid w:val="005C0736"/>
    <w:rsid w:val="005C0F89"/>
    <w:rsid w:val="005C4025"/>
    <w:rsid w:val="005C480B"/>
    <w:rsid w:val="005C62B2"/>
    <w:rsid w:val="005D0BB3"/>
    <w:rsid w:val="005D2C43"/>
    <w:rsid w:val="005D5225"/>
    <w:rsid w:val="005D6380"/>
    <w:rsid w:val="005D75DB"/>
    <w:rsid w:val="005E1456"/>
    <w:rsid w:val="005E1F21"/>
    <w:rsid w:val="005E438C"/>
    <w:rsid w:val="005E49F8"/>
    <w:rsid w:val="005E6527"/>
    <w:rsid w:val="005E687A"/>
    <w:rsid w:val="005E7B56"/>
    <w:rsid w:val="005F06C9"/>
    <w:rsid w:val="005F13BA"/>
    <w:rsid w:val="005F3C8E"/>
    <w:rsid w:val="005F540F"/>
    <w:rsid w:val="005F7905"/>
    <w:rsid w:val="005F7DDA"/>
    <w:rsid w:val="0060092F"/>
    <w:rsid w:val="0060167A"/>
    <w:rsid w:val="0060522B"/>
    <w:rsid w:val="00607CB8"/>
    <w:rsid w:val="00611449"/>
    <w:rsid w:val="00613304"/>
    <w:rsid w:val="006147FE"/>
    <w:rsid w:val="0061542F"/>
    <w:rsid w:val="006165B4"/>
    <w:rsid w:val="006216D1"/>
    <w:rsid w:val="006221F1"/>
    <w:rsid w:val="00623096"/>
    <w:rsid w:val="00624AD8"/>
    <w:rsid w:val="00625115"/>
    <w:rsid w:val="00627138"/>
    <w:rsid w:val="006271CF"/>
    <w:rsid w:val="0063020E"/>
    <w:rsid w:val="00630AD9"/>
    <w:rsid w:val="00633342"/>
    <w:rsid w:val="006334C3"/>
    <w:rsid w:val="00634220"/>
    <w:rsid w:val="00636B39"/>
    <w:rsid w:val="00636C88"/>
    <w:rsid w:val="00637D10"/>
    <w:rsid w:val="006418EA"/>
    <w:rsid w:val="00647E3A"/>
    <w:rsid w:val="0065037B"/>
    <w:rsid w:val="00653509"/>
    <w:rsid w:val="00655236"/>
    <w:rsid w:val="0066188E"/>
    <w:rsid w:val="00667F07"/>
    <w:rsid w:val="0068064C"/>
    <w:rsid w:val="006806AB"/>
    <w:rsid w:val="00684F51"/>
    <w:rsid w:val="00690FD1"/>
    <w:rsid w:val="006941E4"/>
    <w:rsid w:val="00695E7E"/>
    <w:rsid w:val="00696387"/>
    <w:rsid w:val="006A30AE"/>
    <w:rsid w:val="006A3351"/>
    <w:rsid w:val="006A3AFF"/>
    <w:rsid w:val="006A684D"/>
    <w:rsid w:val="006A7E6F"/>
    <w:rsid w:val="006B2110"/>
    <w:rsid w:val="006B5189"/>
    <w:rsid w:val="006B78A4"/>
    <w:rsid w:val="006B7D52"/>
    <w:rsid w:val="006C02E9"/>
    <w:rsid w:val="006C0C9D"/>
    <w:rsid w:val="006C0DC5"/>
    <w:rsid w:val="006C2EA8"/>
    <w:rsid w:val="006C359D"/>
    <w:rsid w:val="006C789B"/>
    <w:rsid w:val="006D1C1F"/>
    <w:rsid w:val="006D3CA8"/>
    <w:rsid w:val="006D4D98"/>
    <w:rsid w:val="006D4DDF"/>
    <w:rsid w:val="006D4EA8"/>
    <w:rsid w:val="006D4F97"/>
    <w:rsid w:val="006D599B"/>
    <w:rsid w:val="006E12B9"/>
    <w:rsid w:val="006E2263"/>
    <w:rsid w:val="006E2B25"/>
    <w:rsid w:val="006E3D0D"/>
    <w:rsid w:val="006E7EE1"/>
    <w:rsid w:val="006F03BD"/>
    <w:rsid w:val="006F1418"/>
    <w:rsid w:val="006F3139"/>
    <w:rsid w:val="006F3187"/>
    <w:rsid w:val="006F38B2"/>
    <w:rsid w:val="0070038D"/>
    <w:rsid w:val="00700BC2"/>
    <w:rsid w:val="00703675"/>
    <w:rsid w:val="00705794"/>
    <w:rsid w:val="0070594E"/>
    <w:rsid w:val="00707486"/>
    <w:rsid w:val="007122E1"/>
    <w:rsid w:val="00713941"/>
    <w:rsid w:val="00720116"/>
    <w:rsid w:val="00730964"/>
    <w:rsid w:val="00732295"/>
    <w:rsid w:val="007333E3"/>
    <w:rsid w:val="00733C05"/>
    <w:rsid w:val="007344A4"/>
    <w:rsid w:val="00735D86"/>
    <w:rsid w:val="00737A6D"/>
    <w:rsid w:val="007407D9"/>
    <w:rsid w:val="007411B7"/>
    <w:rsid w:val="007412E6"/>
    <w:rsid w:val="00745E3A"/>
    <w:rsid w:val="00745F08"/>
    <w:rsid w:val="00746BAC"/>
    <w:rsid w:val="007557AE"/>
    <w:rsid w:val="007566F0"/>
    <w:rsid w:val="00760048"/>
    <w:rsid w:val="00761E62"/>
    <w:rsid w:val="00765154"/>
    <w:rsid w:val="00766317"/>
    <w:rsid w:val="00766F2A"/>
    <w:rsid w:val="00770BF7"/>
    <w:rsid w:val="007763DE"/>
    <w:rsid w:val="00780568"/>
    <w:rsid w:val="007807AB"/>
    <w:rsid w:val="00780E8B"/>
    <w:rsid w:val="0078226A"/>
    <w:rsid w:val="00783899"/>
    <w:rsid w:val="00784502"/>
    <w:rsid w:val="0078496C"/>
    <w:rsid w:val="00790760"/>
    <w:rsid w:val="00791062"/>
    <w:rsid w:val="00791075"/>
    <w:rsid w:val="007912A4"/>
    <w:rsid w:val="00791574"/>
    <w:rsid w:val="007932F5"/>
    <w:rsid w:val="007A277D"/>
    <w:rsid w:val="007A2A60"/>
    <w:rsid w:val="007A4185"/>
    <w:rsid w:val="007A631B"/>
    <w:rsid w:val="007A7800"/>
    <w:rsid w:val="007B6D0C"/>
    <w:rsid w:val="007C00AC"/>
    <w:rsid w:val="007C0E06"/>
    <w:rsid w:val="007C0EF3"/>
    <w:rsid w:val="007C27B0"/>
    <w:rsid w:val="007C45ED"/>
    <w:rsid w:val="007C4B9A"/>
    <w:rsid w:val="007C62D9"/>
    <w:rsid w:val="007C6491"/>
    <w:rsid w:val="007D4530"/>
    <w:rsid w:val="007D4BBF"/>
    <w:rsid w:val="007D7625"/>
    <w:rsid w:val="007E0297"/>
    <w:rsid w:val="007E1EF4"/>
    <w:rsid w:val="007E21C2"/>
    <w:rsid w:val="007E46AC"/>
    <w:rsid w:val="007E4BAD"/>
    <w:rsid w:val="007E7BDA"/>
    <w:rsid w:val="007F3AB7"/>
    <w:rsid w:val="007F5B7B"/>
    <w:rsid w:val="007F6990"/>
    <w:rsid w:val="007F71CD"/>
    <w:rsid w:val="0080015E"/>
    <w:rsid w:val="00800F23"/>
    <w:rsid w:val="00801D54"/>
    <w:rsid w:val="00803C42"/>
    <w:rsid w:val="00806AF0"/>
    <w:rsid w:val="008071C9"/>
    <w:rsid w:val="008147C7"/>
    <w:rsid w:val="008163B0"/>
    <w:rsid w:val="008213F7"/>
    <w:rsid w:val="0083031B"/>
    <w:rsid w:val="00835BD3"/>
    <w:rsid w:val="00836764"/>
    <w:rsid w:val="00837D49"/>
    <w:rsid w:val="00842850"/>
    <w:rsid w:val="00843672"/>
    <w:rsid w:val="00843A01"/>
    <w:rsid w:val="00843B83"/>
    <w:rsid w:val="00845B98"/>
    <w:rsid w:val="00845D5F"/>
    <w:rsid w:val="0084606D"/>
    <w:rsid w:val="008477E6"/>
    <w:rsid w:val="00850CFC"/>
    <w:rsid w:val="0085662F"/>
    <w:rsid w:val="008611F2"/>
    <w:rsid w:val="008714BB"/>
    <w:rsid w:val="00871F76"/>
    <w:rsid w:val="00873130"/>
    <w:rsid w:val="00874B3B"/>
    <w:rsid w:val="008759E1"/>
    <w:rsid w:val="0088152D"/>
    <w:rsid w:val="00881685"/>
    <w:rsid w:val="00882367"/>
    <w:rsid w:val="00882E9D"/>
    <w:rsid w:val="008857AE"/>
    <w:rsid w:val="00885DB9"/>
    <w:rsid w:val="00886C6E"/>
    <w:rsid w:val="00890E5A"/>
    <w:rsid w:val="00891170"/>
    <w:rsid w:val="00892942"/>
    <w:rsid w:val="00894311"/>
    <w:rsid w:val="008946B2"/>
    <w:rsid w:val="00897FF8"/>
    <w:rsid w:val="008A1224"/>
    <w:rsid w:val="008A285C"/>
    <w:rsid w:val="008A31D5"/>
    <w:rsid w:val="008A3ED0"/>
    <w:rsid w:val="008A49BE"/>
    <w:rsid w:val="008A5142"/>
    <w:rsid w:val="008A7465"/>
    <w:rsid w:val="008B0881"/>
    <w:rsid w:val="008B341C"/>
    <w:rsid w:val="008B6D95"/>
    <w:rsid w:val="008D04A6"/>
    <w:rsid w:val="008D0513"/>
    <w:rsid w:val="008D0CE7"/>
    <w:rsid w:val="008D579F"/>
    <w:rsid w:val="008E16CC"/>
    <w:rsid w:val="008E24FA"/>
    <w:rsid w:val="008E3DC9"/>
    <w:rsid w:val="008E4645"/>
    <w:rsid w:val="008E4A30"/>
    <w:rsid w:val="008E5AA5"/>
    <w:rsid w:val="008F0D9E"/>
    <w:rsid w:val="008F15A1"/>
    <w:rsid w:val="008F2F74"/>
    <w:rsid w:val="008F5951"/>
    <w:rsid w:val="008F62AA"/>
    <w:rsid w:val="00902446"/>
    <w:rsid w:val="00903CCF"/>
    <w:rsid w:val="009058F2"/>
    <w:rsid w:val="00907F03"/>
    <w:rsid w:val="00911E97"/>
    <w:rsid w:val="00912F20"/>
    <w:rsid w:val="00913507"/>
    <w:rsid w:val="00914F3F"/>
    <w:rsid w:val="00916742"/>
    <w:rsid w:val="00920590"/>
    <w:rsid w:val="00923D31"/>
    <w:rsid w:val="00925B99"/>
    <w:rsid w:val="009272E1"/>
    <w:rsid w:val="00927C6B"/>
    <w:rsid w:val="009312F0"/>
    <w:rsid w:val="00931793"/>
    <w:rsid w:val="0093309E"/>
    <w:rsid w:val="0093343E"/>
    <w:rsid w:val="009335C9"/>
    <w:rsid w:val="009343D2"/>
    <w:rsid w:val="0093466E"/>
    <w:rsid w:val="00935DBD"/>
    <w:rsid w:val="0093617A"/>
    <w:rsid w:val="00941E16"/>
    <w:rsid w:val="00942A5F"/>
    <w:rsid w:val="00943710"/>
    <w:rsid w:val="009439C6"/>
    <w:rsid w:val="00943DE9"/>
    <w:rsid w:val="00946C30"/>
    <w:rsid w:val="00951140"/>
    <w:rsid w:val="009543C9"/>
    <w:rsid w:val="00955661"/>
    <w:rsid w:val="00955DA5"/>
    <w:rsid w:val="00960C94"/>
    <w:rsid w:val="00961A35"/>
    <w:rsid w:val="00963C9D"/>
    <w:rsid w:val="00967803"/>
    <w:rsid w:val="00967B9B"/>
    <w:rsid w:val="00972C77"/>
    <w:rsid w:val="009753E3"/>
    <w:rsid w:val="0097565F"/>
    <w:rsid w:val="009871C4"/>
    <w:rsid w:val="0098742A"/>
    <w:rsid w:val="00987DEE"/>
    <w:rsid w:val="00990D3E"/>
    <w:rsid w:val="00994C4B"/>
    <w:rsid w:val="00996936"/>
    <w:rsid w:val="0099709F"/>
    <w:rsid w:val="0099770C"/>
    <w:rsid w:val="009A027A"/>
    <w:rsid w:val="009A2C60"/>
    <w:rsid w:val="009A2E2F"/>
    <w:rsid w:val="009B304E"/>
    <w:rsid w:val="009B4495"/>
    <w:rsid w:val="009C2BD0"/>
    <w:rsid w:val="009C363C"/>
    <w:rsid w:val="009C4495"/>
    <w:rsid w:val="009C49E0"/>
    <w:rsid w:val="009D527D"/>
    <w:rsid w:val="009D5D92"/>
    <w:rsid w:val="009D7551"/>
    <w:rsid w:val="009E13E4"/>
    <w:rsid w:val="009E3B71"/>
    <w:rsid w:val="009E577B"/>
    <w:rsid w:val="009F00D9"/>
    <w:rsid w:val="009F09B6"/>
    <w:rsid w:val="009F203B"/>
    <w:rsid w:val="009F24FA"/>
    <w:rsid w:val="009F650B"/>
    <w:rsid w:val="009F79EF"/>
    <w:rsid w:val="009F7D61"/>
    <w:rsid w:val="00A00FD6"/>
    <w:rsid w:val="00A01D4B"/>
    <w:rsid w:val="00A036FF"/>
    <w:rsid w:val="00A03E1B"/>
    <w:rsid w:val="00A0581E"/>
    <w:rsid w:val="00A06EDF"/>
    <w:rsid w:val="00A073D3"/>
    <w:rsid w:val="00A104AB"/>
    <w:rsid w:val="00A1072C"/>
    <w:rsid w:val="00A11D83"/>
    <w:rsid w:val="00A14FBA"/>
    <w:rsid w:val="00A17673"/>
    <w:rsid w:val="00A17A84"/>
    <w:rsid w:val="00A21502"/>
    <w:rsid w:val="00A227BF"/>
    <w:rsid w:val="00A326B4"/>
    <w:rsid w:val="00A35D1F"/>
    <w:rsid w:val="00A35D26"/>
    <w:rsid w:val="00A36E93"/>
    <w:rsid w:val="00A37386"/>
    <w:rsid w:val="00A40A39"/>
    <w:rsid w:val="00A413E7"/>
    <w:rsid w:val="00A427DB"/>
    <w:rsid w:val="00A42C85"/>
    <w:rsid w:val="00A438F2"/>
    <w:rsid w:val="00A467E5"/>
    <w:rsid w:val="00A46D95"/>
    <w:rsid w:val="00A47D95"/>
    <w:rsid w:val="00A5003C"/>
    <w:rsid w:val="00A50182"/>
    <w:rsid w:val="00A57396"/>
    <w:rsid w:val="00A60D1C"/>
    <w:rsid w:val="00A61A17"/>
    <w:rsid w:val="00A63BDE"/>
    <w:rsid w:val="00A678D0"/>
    <w:rsid w:val="00A74156"/>
    <w:rsid w:val="00A749B5"/>
    <w:rsid w:val="00A77B20"/>
    <w:rsid w:val="00A77C03"/>
    <w:rsid w:val="00A81C2C"/>
    <w:rsid w:val="00A86FCA"/>
    <w:rsid w:val="00A90CA0"/>
    <w:rsid w:val="00A9464B"/>
    <w:rsid w:val="00A94FD4"/>
    <w:rsid w:val="00A967A4"/>
    <w:rsid w:val="00A97F64"/>
    <w:rsid w:val="00AA3A84"/>
    <w:rsid w:val="00AB0935"/>
    <w:rsid w:val="00AB0C43"/>
    <w:rsid w:val="00AB14FC"/>
    <w:rsid w:val="00AB15FA"/>
    <w:rsid w:val="00AB404F"/>
    <w:rsid w:val="00AB5A8F"/>
    <w:rsid w:val="00AB5BBA"/>
    <w:rsid w:val="00AB62C4"/>
    <w:rsid w:val="00AB63E1"/>
    <w:rsid w:val="00AC04AB"/>
    <w:rsid w:val="00AC0C8D"/>
    <w:rsid w:val="00AC0F88"/>
    <w:rsid w:val="00AC182B"/>
    <w:rsid w:val="00AC4DD3"/>
    <w:rsid w:val="00AD0E56"/>
    <w:rsid w:val="00AD563F"/>
    <w:rsid w:val="00AD6350"/>
    <w:rsid w:val="00AD6803"/>
    <w:rsid w:val="00AE1199"/>
    <w:rsid w:val="00AE401F"/>
    <w:rsid w:val="00AF2F12"/>
    <w:rsid w:val="00AF463C"/>
    <w:rsid w:val="00AF738C"/>
    <w:rsid w:val="00B025E0"/>
    <w:rsid w:val="00B05D3A"/>
    <w:rsid w:val="00B06AEF"/>
    <w:rsid w:val="00B12789"/>
    <w:rsid w:val="00B1575C"/>
    <w:rsid w:val="00B173E4"/>
    <w:rsid w:val="00B17910"/>
    <w:rsid w:val="00B20BFF"/>
    <w:rsid w:val="00B2214F"/>
    <w:rsid w:val="00B22EFD"/>
    <w:rsid w:val="00B239A8"/>
    <w:rsid w:val="00B24D97"/>
    <w:rsid w:val="00B262DF"/>
    <w:rsid w:val="00B304C9"/>
    <w:rsid w:val="00B32101"/>
    <w:rsid w:val="00B32755"/>
    <w:rsid w:val="00B3327F"/>
    <w:rsid w:val="00B36119"/>
    <w:rsid w:val="00B36866"/>
    <w:rsid w:val="00B407D2"/>
    <w:rsid w:val="00B43588"/>
    <w:rsid w:val="00B47941"/>
    <w:rsid w:val="00B50C1D"/>
    <w:rsid w:val="00B552FA"/>
    <w:rsid w:val="00B5532F"/>
    <w:rsid w:val="00B5581A"/>
    <w:rsid w:val="00B56B69"/>
    <w:rsid w:val="00B56F29"/>
    <w:rsid w:val="00B610D3"/>
    <w:rsid w:val="00B628BA"/>
    <w:rsid w:val="00B62E66"/>
    <w:rsid w:val="00B66194"/>
    <w:rsid w:val="00B678FD"/>
    <w:rsid w:val="00B67B9B"/>
    <w:rsid w:val="00B7623C"/>
    <w:rsid w:val="00B80A43"/>
    <w:rsid w:val="00B80BD3"/>
    <w:rsid w:val="00B82D74"/>
    <w:rsid w:val="00B82DCB"/>
    <w:rsid w:val="00B846F7"/>
    <w:rsid w:val="00B85344"/>
    <w:rsid w:val="00B85616"/>
    <w:rsid w:val="00B924F2"/>
    <w:rsid w:val="00B95795"/>
    <w:rsid w:val="00B9719E"/>
    <w:rsid w:val="00BA1E0E"/>
    <w:rsid w:val="00BA2833"/>
    <w:rsid w:val="00BA764C"/>
    <w:rsid w:val="00BA7697"/>
    <w:rsid w:val="00BA7E9B"/>
    <w:rsid w:val="00BB0D2B"/>
    <w:rsid w:val="00BB4FCE"/>
    <w:rsid w:val="00BB7BA5"/>
    <w:rsid w:val="00BB7CC8"/>
    <w:rsid w:val="00BC0C7B"/>
    <w:rsid w:val="00BC3396"/>
    <w:rsid w:val="00BC3BCA"/>
    <w:rsid w:val="00BC4695"/>
    <w:rsid w:val="00BC5EC4"/>
    <w:rsid w:val="00BC602A"/>
    <w:rsid w:val="00BC73A4"/>
    <w:rsid w:val="00BC764C"/>
    <w:rsid w:val="00BC7B33"/>
    <w:rsid w:val="00BD0AA9"/>
    <w:rsid w:val="00BD0D20"/>
    <w:rsid w:val="00BD17C7"/>
    <w:rsid w:val="00BD54B7"/>
    <w:rsid w:val="00BD5ABC"/>
    <w:rsid w:val="00BE088C"/>
    <w:rsid w:val="00BE3698"/>
    <w:rsid w:val="00BF1B43"/>
    <w:rsid w:val="00BF2AC9"/>
    <w:rsid w:val="00BF32E7"/>
    <w:rsid w:val="00BF3D6A"/>
    <w:rsid w:val="00BF5665"/>
    <w:rsid w:val="00BF7334"/>
    <w:rsid w:val="00C01393"/>
    <w:rsid w:val="00C039F6"/>
    <w:rsid w:val="00C044B8"/>
    <w:rsid w:val="00C04D5C"/>
    <w:rsid w:val="00C063B9"/>
    <w:rsid w:val="00C13253"/>
    <w:rsid w:val="00C14ED4"/>
    <w:rsid w:val="00C15E7F"/>
    <w:rsid w:val="00C17A26"/>
    <w:rsid w:val="00C213A3"/>
    <w:rsid w:val="00C214DF"/>
    <w:rsid w:val="00C257C4"/>
    <w:rsid w:val="00C26322"/>
    <w:rsid w:val="00C27DC5"/>
    <w:rsid w:val="00C315D5"/>
    <w:rsid w:val="00C4015A"/>
    <w:rsid w:val="00C41CF9"/>
    <w:rsid w:val="00C50113"/>
    <w:rsid w:val="00C51353"/>
    <w:rsid w:val="00C51CA6"/>
    <w:rsid w:val="00C52535"/>
    <w:rsid w:val="00C56B84"/>
    <w:rsid w:val="00C6316E"/>
    <w:rsid w:val="00C64DAB"/>
    <w:rsid w:val="00C71B08"/>
    <w:rsid w:val="00C73062"/>
    <w:rsid w:val="00C7346A"/>
    <w:rsid w:val="00C74B81"/>
    <w:rsid w:val="00C76DC0"/>
    <w:rsid w:val="00C813BD"/>
    <w:rsid w:val="00C86737"/>
    <w:rsid w:val="00C87B24"/>
    <w:rsid w:val="00C90A8E"/>
    <w:rsid w:val="00C956CD"/>
    <w:rsid w:val="00C96169"/>
    <w:rsid w:val="00C9717B"/>
    <w:rsid w:val="00CA54EA"/>
    <w:rsid w:val="00CA72AF"/>
    <w:rsid w:val="00CA791D"/>
    <w:rsid w:val="00CB2AA1"/>
    <w:rsid w:val="00CB2AFD"/>
    <w:rsid w:val="00CB2D13"/>
    <w:rsid w:val="00CB3545"/>
    <w:rsid w:val="00CB4066"/>
    <w:rsid w:val="00CB463D"/>
    <w:rsid w:val="00CB6BC6"/>
    <w:rsid w:val="00CB70F9"/>
    <w:rsid w:val="00CB71E6"/>
    <w:rsid w:val="00CB7E58"/>
    <w:rsid w:val="00CC2FFA"/>
    <w:rsid w:val="00CC56C2"/>
    <w:rsid w:val="00CC5BF8"/>
    <w:rsid w:val="00CD009F"/>
    <w:rsid w:val="00CD078D"/>
    <w:rsid w:val="00CD098E"/>
    <w:rsid w:val="00CD1092"/>
    <w:rsid w:val="00CD1865"/>
    <w:rsid w:val="00CD4220"/>
    <w:rsid w:val="00CD4C3B"/>
    <w:rsid w:val="00CD72B8"/>
    <w:rsid w:val="00CD72FB"/>
    <w:rsid w:val="00CE3F3E"/>
    <w:rsid w:val="00CE5DB4"/>
    <w:rsid w:val="00CF0D55"/>
    <w:rsid w:val="00CF1137"/>
    <w:rsid w:val="00CF4454"/>
    <w:rsid w:val="00CF6750"/>
    <w:rsid w:val="00D002A4"/>
    <w:rsid w:val="00D05024"/>
    <w:rsid w:val="00D05A56"/>
    <w:rsid w:val="00D13A86"/>
    <w:rsid w:val="00D13A95"/>
    <w:rsid w:val="00D14301"/>
    <w:rsid w:val="00D149E3"/>
    <w:rsid w:val="00D20793"/>
    <w:rsid w:val="00D232E6"/>
    <w:rsid w:val="00D24367"/>
    <w:rsid w:val="00D248A7"/>
    <w:rsid w:val="00D24F20"/>
    <w:rsid w:val="00D2562F"/>
    <w:rsid w:val="00D26B07"/>
    <w:rsid w:val="00D273EE"/>
    <w:rsid w:val="00D32F23"/>
    <w:rsid w:val="00D3341B"/>
    <w:rsid w:val="00D33828"/>
    <w:rsid w:val="00D345C8"/>
    <w:rsid w:val="00D352AB"/>
    <w:rsid w:val="00D37334"/>
    <w:rsid w:val="00D4277F"/>
    <w:rsid w:val="00D53B94"/>
    <w:rsid w:val="00D562E9"/>
    <w:rsid w:val="00D5681D"/>
    <w:rsid w:val="00D60336"/>
    <w:rsid w:val="00D60C64"/>
    <w:rsid w:val="00D64195"/>
    <w:rsid w:val="00D665C8"/>
    <w:rsid w:val="00D66ED4"/>
    <w:rsid w:val="00D71343"/>
    <w:rsid w:val="00D73771"/>
    <w:rsid w:val="00D73C25"/>
    <w:rsid w:val="00D73E86"/>
    <w:rsid w:val="00D76E96"/>
    <w:rsid w:val="00D81558"/>
    <w:rsid w:val="00D81FF9"/>
    <w:rsid w:val="00D822F8"/>
    <w:rsid w:val="00D83DC2"/>
    <w:rsid w:val="00D842B6"/>
    <w:rsid w:val="00D848DD"/>
    <w:rsid w:val="00D85985"/>
    <w:rsid w:val="00D86CF2"/>
    <w:rsid w:val="00D87D0B"/>
    <w:rsid w:val="00D91A98"/>
    <w:rsid w:val="00D92BA1"/>
    <w:rsid w:val="00DA1E59"/>
    <w:rsid w:val="00DA2D51"/>
    <w:rsid w:val="00DA3D2B"/>
    <w:rsid w:val="00DA55A1"/>
    <w:rsid w:val="00DA57AC"/>
    <w:rsid w:val="00DB259D"/>
    <w:rsid w:val="00DB6075"/>
    <w:rsid w:val="00DB6571"/>
    <w:rsid w:val="00DB68E5"/>
    <w:rsid w:val="00DB73ED"/>
    <w:rsid w:val="00DC6CC0"/>
    <w:rsid w:val="00DC7DC7"/>
    <w:rsid w:val="00DD07DD"/>
    <w:rsid w:val="00DD0C43"/>
    <w:rsid w:val="00DD5925"/>
    <w:rsid w:val="00DD5D7F"/>
    <w:rsid w:val="00DD6BCB"/>
    <w:rsid w:val="00DE035F"/>
    <w:rsid w:val="00DE049D"/>
    <w:rsid w:val="00DE1EF7"/>
    <w:rsid w:val="00DE5CA7"/>
    <w:rsid w:val="00DE6356"/>
    <w:rsid w:val="00DE6FD2"/>
    <w:rsid w:val="00DF03C7"/>
    <w:rsid w:val="00DF462D"/>
    <w:rsid w:val="00DF67F5"/>
    <w:rsid w:val="00DF794E"/>
    <w:rsid w:val="00E01D3F"/>
    <w:rsid w:val="00E01F6A"/>
    <w:rsid w:val="00E058BE"/>
    <w:rsid w:val="00E064D4"/>
    <w:rsid w:val="00E07C39"/>
    <w:rsid w:val="00E1102F"/>
    <w:rsid w:val="00E13137"/>
    <w:rsid w:val="00E1485E"/>
    <w:rsid w:val="00E14ECE"/>
    <w:rsid w:val="00E154B9"/>
    <w:rsid w:val="00E20508"/>
    <w:rsid w:val="00E237A7"/>
    <w:rsid w:val="00E272EE"/>
    <w:rsid w:val="00E27D39"/>
    <w:rsid w:val="00E30A7A"/>
    <w:rsid w:val="00E3545C"/>
    <w:rsid w:val="00E35AB9"/>
    <w:rsid w:val="00E37B45"/>
    <w:rsid w:val="00E37C0B"/>
    <w:rsid w:val="00E41B33"/>
    <w:rsid w:val="00E41CF3"/>
    <w:rsid w:val="00E42347"/>
    <w:rsid w:val="00E429E0"/>
    <w:rsid w:val="00E44CE9"/>
    <w:rsid w:val="00E4509D"/>
    <w:rsid w:val="00E462A5"/>
    <w:rsid w:val="00E46DF3"/>
    <w:rsid w:val="00E47BA9"/>
    <w:rsid w:val="00E5182F"/>
    <w:rsid w:val="00E51D2A"/>
    <w:rsid w:val="00E520EE"/>
    <w:rsid w:val="00E54094"/>
    <w:rsid w:val="00E5749E"/>
    <w:rsid w:val="00E633AC"/>
    <w:rsid w:val="00E63537"/>
    <w:rsid w:val="00E64184"/>
    <w:rsid w:val="00E66538"/>
    <w:rsid w:val="00E667DE"/>
    <w:rsid w:val="00E66CED"/>
    <w:rsid w:val="00E66E3C"/>
    <w:rsid w:val="00E72386"/>
    <w:rsid w:val="00E743B5"/>
    <w:rsid w:val="00E770CE"/>
    <w:rsid w:val="00E77710"/>
    <w:rsid w:val="00E91BFE"/>
    <w:rsid w:val="00E93CD3"/>
    <w:rsid w:val="00E946FF"/>
    <w:rsid w:val="00E9482C"/>
    <w:rsid w:val="00EA3E4F"/>
    <w:rsid w:val="00EB000C"/>
    <w:rsid w:val="00EB72F4"/>
    <w:rsid w:val="00EC0201"/>
    <w:rsid w:val="00EC2F8B"/>
    <w:rsid w:val="00EC4CA6"/>
    <w:rsid w:val="00EC4D3A"/>
    <w:rsid w:val="00EC6FE3"/>
    <w:rsid w:val="00ED0422"/>
    <w:rsid w:val="00EE356B"/>
    <w:rsid w:val="00EE48FA"/>
    <w:rsid w:val="00EE741E"/>
    <w:rsid w:val="00EE7D1D"/>
    <w:rsid w:val="00EF03AB"/>
    <w:rsid w:val="00EF0DF5"/>
    <w:rsid w:val="00EF5A0E"/>
    <w:rsid w:val="00EF61FC"/>
    <w:rsid w:val="00F01168"/>
    <w:rsid w:val="00F02A40"/>
    <w:rsid w:val="00F034F1"/>
    <w:rsid w:val="00F06687"/>
    <w:rsid w:val="00F070F1"/>
    <w:rsid w:val="00F116B5"/>
    <w:rsid w:val="00F16CBE"/>
    <w:rsid w:val="00F171A1"/>
    <w:rsid w:val="00F23705"/>
    <w:rsid w:val="00F24900"/>
    <w:rsid w:val="00F275CC"/>
    <w:rsid w:val="00F27680"/>
    <w:rsid w:val="00F31CA0"/>
    <w:rsid w:val="00F348CA"/>
    <w:rsid w:val="00F35AB9"/>
    <w:rsid w:val="00F36493"/>
    <w:rsid w:val="00F406A4"/>
    <w:rsid w:val="00F4459D"/>
    <w:rsid w:val="00F47EB4"/>
    <w:rsid w:val="00F50CB4"/>
    <w:rsid w:val="00F55E81"/>
    <w:rsid w:val="00F63E9F"/>
    <w:rsid w:val="00F7149E"/>
    <w:rsid w:val="00F73037"/>
    <w:rsid w:val="00F74545"/>
    <w:rsid w:val="00F7655F"/>
    <w:rsid w:val="00F76D35"/>
    <w:rsid w:val="00F80272"/>
    <w:rsid w:val="00F8074D"/>
    <w:rsid w:val="00F81F68"/>
    <w:rsid w:val="00F8297F"/>
    <w:rsid w:val="00F84500"/>
    <w:rsid w:val="00F84654"/>
    <w:rsid w:val="00F86DF7"/>
    <w:rsid w:val="00F928B7"/>
    <w:rsid w:val="00F936D1"/>
    <w:rsid w:val="00F94876"/>
    <w:rsid w:val="00FA0034"/>
    <w:rsid w:val="00FA122B"/>
    <w:rsid w:val="00FA27EA"/>
    <w:rsid w:val="00FA307B"/>
    <w:rsid w:val="00FA38C6"/>
    <w:rsid w:val="00FA4C38"/>
    <w:rsid w:val="00FA50F8"/>
    <w:rsid w:val="00FA5B5A"/>
    <w:rsid w:val="00FA669E"/>
    <w:rsid w:val="00FA7AD8"/>
    <w:rsid w:val="00FB1816"/>
    <w:rsid w:val="00FB7B0A"/>
    <w:rsid w:val="00FC2180"/>
    <w:rsid w:val="00FC530A"/>
    <w:rsid w:val="00FC5379"/>
    <w:rsid w:val="00FC578C"/>
    <w:rsid w:val="00FD0C9E"/>
    <w:rsid w:val="00FD24DD"/>
    <w:rsid w:val="00FD330C"/>
    <w:rsid w:val="00FD7122"/>
    <w:rsid w:val="00FD76ED"/>
    <w:rsid w:val="00FE0C98"/>
    <w:rsid w:val="00FE2E3B"/>
    <w:rsid w:val="00FF12C2"/>
    <w:rsid w:val="00FF56E9"/>
    <w:rsid w:val="00FF6093"/>
    <w:rsid w:val="00F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DF93B"/>
  <w15:docId w15:val="{C3C004E7-5FCF-48A0-B6BC-9691AE32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85"/>
    <w:pPr>
      <w:spacing w:after="0" w:line="300" w:lineRule="exact"/>
    </w:pPr>
    <w:rPr>
      <w:rFonts w:ascii="Calibri" w:hAnsi="Calibri"/>
      <w:color w:val="000000" w:themeColor="text1"/>
    </w:rPr>
  </w:style>
  <w:style w:type="paragraph" w:styleId="Heading1">
    <w:name w:val="heading 1"/>
    <w:aliases w:val="Subject page,Section title"/>
    <w:basedOn w:val="Normal"/>
    <w:next w:val="Normal"/>
    <w:link w:val="Heading1Char"/>
    <w:uiPriority w:val="9"/>
    <w:qFormat/>
    <w:rsid w:val="007A4185"/>
    <w:pPr>
      <w:pageBreakBefore/>
      <w:numPr>
        <w:numId w:val="16"/>
      </w:numPr>
      <w:autoSpaceDE w:val="0"/>
      <w:autoSpaceDN w:val="0"/>
      <w:adjustRightInd w:val="0"/>
      <w:spacing w:after="120" w:line="600" w:lineRule="exact"/>
      <w:outlineLvl w:val="0"/>
    </w:pPr>
    <w:rPr>
      <w:rFonts w:cstheme="minorHAnsi"/>
      <w:sz w:val="44"/>
      <w:szCs w:val="60"/>
    </w:rPr>
  </w:style>
  <w:style w:type="paragraph" w:styleId="Heading2">
    <w:name w:val="heading 2"/>
    <w:aliases w:val="Sub-heading,Subject title"/>
    <w:basedOn w:val="Heading1"/>
    <w:next w:val="Normal"/>
    <w:link w:val="Heading2Char"/>
    <w:uiPriority w:val="9"/>
    <w:unhideWhenUsed/>
    <w:qFormat/>
    <w:rsid w:val="007A4185"/>
    <w:pPr>
      <w:keepNext/>
      <w:pageBreakBefore w:val="0"/>
      <w:numPr>
        <w:ilvl w:val="1"/>
      </w:numPr>
      <w:spacing w:after="240" w:line="300" w:lineRule="exac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F64"/>
    <w:pPr>
      <w:keepNext/>
      <w:numPr>
        <w:ilvl w:val="2"/>
        <w:numId w:val="16"/>
      </w:numPr>
      <w:spacing w:before="60" w:after="60"/>
      <w:ind w:left="72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7A4185"/>
    <w:pPr>
      <w:numPr>
        <w:ilvl w:val="3"/>
        <w:numId w:val="16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rsid w:val="007A4185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185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4185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4185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5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A4185"/>
    <w:pPr>
      <w:pBdr>
        <w:bottom w:val="single" w:sz="4" w:space="4" w:color="auto"/>
      </w:pBdr>
      <w:spacing w:line="140" w:lineRule="exact"/>
      <w:jc w:val="right"/>
    </w:pPr>
    <w:rPr>
      <w:rFonts w:asciiTheme="majorHAnsi" w:hAnsiTheme="majorHAnsi" w:cstheme="majorHAnsi"/>
      <w:noProof/>
      <w:sz w:val="12"/>
      <w:szCs w:val="1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7A4185"/>
    <w:rPr>
      <w:rFonts w:asciiTheme="majorHAnsi" w:hAnsiTheme="majorHAnsi" w:cstheme="majorHAnsi"/>
      <w:noProof/>
      <w:color w:val="000000" w:themeColor="text1"/>
      <w:sz w:val="12"/>
      <w:szCs w:val="12"/>
      <w:lang w:eastAsia="en-GB"/>
    </w:rPr>
  </w:style>
  <w:style w:type="paragraph" w:styleId="Footer">
    <w:name w:val="footer"/>
    <w:basedOn w:val="Normal"/>
    <w:link w:val="FooterChar"/>
    <w:uiPriority w:val="9"/>
    <w:unhideWhenUsed/>
    <w:rsid w:val="007A4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"/>
    <w:rsid w:val="007A4185"/>
    <w:rPr>
      <w:rFonts w:ascii="Calibri" w:hAnsi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85"/>
    <w:rPr>
      <w:rFonts w:ascii="Tahoma" w:hAnsi="Tahoma" w:cs="Tahoma"/>
      <w:color w:val="000000" w:themeColor="text1"/>
      <w:sz w:val="16"/>
      <w:szCs w:val="16"/>
    </w:rPr>
  </w:style>
  <w:style w:type="paragraph" w:customStyle="1" w:styleId="Dashedbullets">
    <w:name w:val="Dashed bullets"/>
    <w:basedOn w:val="Normal"/>
    <w:qFormat/>
    <w:rsid w:val="007A4185"/>
    <w:pPr>
      <w:numPr>
        <w:numId w:val="14"/>
      </w:numPr>
    </w:pPr>
  </w:style>
  <w:style w:type="character" w:customStyle="1" w:styleId="Heading1Char">
    <w:name w:val="Heading 1 Char"/>
    <w:aliases w:val="Subject page Char,Section title Char"/>
    <w:basedOn w:val="DefaultParagraphFont"/>
    <w:link w:val="Heading1"/>
    <w:uiPriority w:val="9"/>
    <w:rsid w:val="007A4185"/>
    <w:rPr>
      <w:rFonts w:ascii="Calibri" w:hAnsi="Calibri" w:cstheme="minorHAnsi"/>
      <w:color w:val="000000" w:themeColor="text1"/>
      <w:sz w:val="44"/>
      <w:szCs w:val="60"/>
    </w:rPr>
  </w:style>
  <w:style w:type="character" w:customStyle="1" w:styleId="Heading2Char">
    <w:name w:val="Heading 2 Char"/>
    <w:aliases w:val="Sub-heading Char,Subject title Char"/>
    <w:basedOn w:val="DefaultParagraphFont"/>
    <w:link w:val="Heading2"/>
    <w:uiPriority w:val="9"/>
    <w:rsid w:val="007A4185"/>
    <w:rPr>
      <w:rFonts w:ascii="Calibri" w:hAnsi="Calibri" w:cstheme="minorHAnsi"/>
      <w:b/>
      <w:color w:val="000000" w:themeColor="text1"/>
      <w:sz w:val="28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A97F64"/>
    <w:rPr>
      <w:rFonts w:ascii="Calibri" w:hAnsi="Calibri" w:cstheme="minorHAns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A4185"/>
    <w:rPr>
      <w:rFonts w:ascii="Calibri" w:hAnsi="Calibr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A41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1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4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A4185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customStyle="1" w:styleId="Acknowledgements">
    <w:name w:val="Acknowledgements"/>
    <w:basedOn w:val="Normal"/>
    <w:qFormat/>
    <w:rsid w:val="007A4185"/>
    <w:pPr>
      <w:pageBreakBefore/>
      <w:spacing w:after="480" w:line="600" w:lineRule="exact"/>
    </w:pPr>
    <w:rPr>
      <w:sz w:val="44"/>
      <w:szCs w:val="60"/>
    </w:rPr>
  </w:style>
  <w:style w:type="paragraph" w:customStyle="1" w:styleId="Appendix">
    <w:name w:val="Appendix"/>
    <w:basedOn w:val="Heading1"/>
    <w:qFormat/>
    <w:rsid w:val="007A4185"/>
    <w:pPr>
      <w:numPr>
        <w:numId w:val="0"/>
      </w:numPr>
      <w:spacing w:after="480"/>
    </w:pPr>
  </w:style>
  <w:style w:type="paragraph" w:customStyle="1" w:styleId="Subheading">
    <w:name w:val="Subheading"/>
    <w:basedOn w:val="Normal"/>
    <w:qFormat/>
    <w:rsid w:val="007A4185"/>
    <w:pPr>
      <w:autoSpaceDE w:val="0"/>
      <w:autoSpaceDN w:val="0"/>
      <w:adjustRightInd w:val="0"/>
      <w:spacing w:before="240" w:after="600" w:line="360" w:lineRule="exact"/>
    </w:pPr>
    <w:rPr>
      <w:rFonts w:cstheme="minorHAnsi"/>
      <w:b/>
      <w:bCs/>
      <w:sz w:val="28"/>
      <w:szCs w:val="30"/>
    </w:rPr>
  </w:style>
  <w:style w:type="paragraph" w:customStyle="1" w:styleId="Appendixheading">
    <w:name w:val="Appendix heading"/>
    <w:basedOn w:val="Subheading"/>
    <w:next w:val="Normal"/>
    <w:qFormat/>
    <w:rsid w:val="007A4185"/>
    <w:pPr>
      <w:spacing w:before="120" w:after="120"/>
    </w:pPr>
  </w:style>
  <w:style w:type="paragraph" w:customStyle="1" w:styleId="Charttitle">
    <w:name w:val="Chart title"/>
    <w:basedOn w:val="Normal"/>
    <w:qFormat/>
    <w:rsid w:val="007A4185"/>
    <w:pPr>
      <w:keepNext/>
      <w:numPr>
        <w:numId w:val="3"/>
      </w:numPr>
      <w:pBdr>
        <w:top w:val="single" w:sz="4" w:space="1" w:color="7F7F7F" w:themeColor="text1" w:themeTint="80"/>
      </w:pBdr>
      <w:autoSpaceDE w:val="0"/>
      <w:autoSpaceDN w:val="0"/>
      <w:adjustRightInd w:val="0"/>
      <w:spacing w:before="480" w:after="120" w:line="220" w:lineRule="atLeast"/>
    </w:pPr>
    <w:rPr>
      <w:rFonts w:cstheme="minorHAnsi"/>
      <w:b/>
      <w:iCs/>
      <w:color w:val="000000"/>
      <w:sz w:val="20"/>
      <w:szCs w:val="20"/>
    </w:rPr>
  </w:style>
  <w:style w:type="paragraph" w:customStyle="1" w:styleId="Boxtitle">
    <w:name w:val="Box title"/>
    <w:basedOn w:val="Charttitle"/>
    <w:qFormat/>
    <w:rsid w:val="007A4185"/>
    <w:pPr>
      <w:numPr>
        <w:numId w:val="4"/>
      </w:numPr>
      <w:pBdr>
        <w:top w:val="none" w:sz="0" w:space="0" w:color="auto"/>
      </w:pBdr>
      <w:spacing w:before="240" w:after="240"/>
    </w:pPr>
    <w:rPr>
      <w:color w:val="000000" w:themeColor="text1"/>
    </w:rPr>
  </w:style>
  <w:style w:type="paragraph" w:customStyle="1" w:styleId="Chartspacer">
    <w:name w:val="Chart spacer"/>
    <w:basedOn w:val="Normal"/>
    <w:qFormat/>
    <w:rsid w:val="007A4185"/>
    <w:pPr>
      <w:spacing w:line="240" w:lineRule="auto"/>
    </w:pPr>
    <w:rPr>
      <w:sz w:val="8"/>
      <w:szCs w:val="8"/>
    </w:rPr>
  </w:style>
  <w:style w:type="paragraph" w:customStyle="1" w:styleId="Client">
    <w:name w:val="Client"/>
    <w:basedOn w:val="Normal"/>
    <w:rsid w:val="007A4185"/>
    <w:pPr>
      <w:spacing w:before="360" w:line="360" w:lineRule="exact"/>
      <w:ind w:left="2410"/>
    </w:pPr>
    <w:rPr>
      <w:rFonts w:asciiTheme="minorHAnsi" w:hAnsiTheme="minorHAnsi" w:cstheme="minorHAnsi"/>
      <w:b/>
      <w:sz w:val="2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A4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185"/>
    <w:rPr>
      <w:rFonts w:ascii="Calibri" w:hAnsi="Calibri"/>
      <w:color w:val="000000" w:themeColor="text1"/>
      <w:sz w:val="20"/>
      <w:szCs w:val="20"/>
    </w:rPr>
  </w:style>
  <w:style w:type="paragraph" w:customStyle="1" w:styleId="CompanyProfile">
    <w:name w:val="Company Profile"/>
    <w:basedOn w:val="Normal"/>
    <w:qFormat/>
    <w:rsid w:val="007A4185"/>
  </w:style>
  <w:style w:type="paragraph" w:customStyle="1" w:styleId="Contents">
    <w:name w:val="Contents"/>
    <w:basedOn w:val="Normal"/>
    <w:rsid w:val="007A4185"/>
    <w:pPr>
      <w:pageBreakBefore/>
      <w:spacing w:after="540" w:line="600" w:lineRule="exact"/>
      <w:ind w:left="2410"/>
    </w:pPr>
    <w:rPr>
      <w:rFonts w:cs="Arial"/>
      <w:color w:val="221E1F"/>
      <w:sz w:val="60"/>
      <w:szCs w:val="60"/>
    </w:rPr>
  </w:style>
  <w:style w:type="paragraph" w:styleId="Date">
    <w:name w:val="Date"/>
    <w:basedOn w:val="Normal"/>
    <w:next w:val="Normal"/>
    <w:link w:val="DateChar"/>
    <w:uiPriority w:val="9"/>
    <w:rsid w:val="007A4185"/>
    <w:pPr>
      <w:spacing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character" w:customStyle="1" w:styleId="DateChar">
    <w:name w:val="Date Char"/>
    <w:basedOn w:val="DefaultParagraphFont"/>
    <w:link w:val="Date"/>
    <w:uiPriority w:val="9"/>
    <w:rsid w:val="007A4185"/>
    <w:rPr>
      <w:rFonts w:cstheme="minorHAnsi"/>
      <w:color w:val="666666"/>
      <w:sz w:val="28"/>
      <w:szCs w:val="30"/>
    </w:rPr>
  </w:style>
  <w:style w:type="paragraph" w:customStyle="1" w:styleId="ExecutiveSummary">
    <w:name w:val="Executive Summary"/>
    <w:basedOn w:val="Heading1"/>
    <w:rsid w:val="007A4185"/>
    <w:pPr>
      <w:numPr>
        <w:numId w:val="0"/>
      </w:numPr>
      <w:outlineLvl w:val="9"/>
    </w:pPr>
  </w:style>
  <w:style w:type="character" w:styleId="FootnoteReference">
    <w:name w:val="footnote reference"/>
    <w:basedOn w:val="DefaultParagraphFont"/>
    <w:uiPriority w:val="99"/>
    <w:semiHidden/>
    <w:unhideWhenUsed/>
    <w:rsid w:val="007A418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rsid w:val="007A4185"/>
    <w:pPr>
      <w:pBdr>
        <w:top w:val="single" w:sz="4" w:space="1" w:color="7F7F7F" w:themeColor="text1" w:themeTint="80"/>
      </w:pBdr>
      <w:spacing w:before="120" w:after="240" w:line="240" w:lineRule="auto"/>
    </w:pPr>
    <w:rPr>
      <w:rFonts w:asciiTheme="minorHAnsi" w:hAnsiTheme="minorHAnsi" w:cstheme="minorHAnsi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A4185"/>
    <w:rPr>
      <w:rFonts w:cstheme="minorHAnsi"/>
      <w:color w:val="000000" w:themeColor="text1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5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7A4185"/>
    <w:rPr>
      <w:color w:val="008CD1"/>
      <w:u w:val="single"/>
    </w:rPr>
  </w:style>
  <w:style w:type="paragraph" w:customStyle="1" w:styleId="Indentedbullet">
    <w:name w:val="Indented bullet"/>
    <w:basedOn w:val="Dashedbullets"/>
    <w:qFormat/>
    <w:rsid w:val="007A4185"/>
    <w:pPr>
      <w:ind w:left="568"/>
    </w:pPr>
  </w:style>
  <w:style w:type="paragraph" w:customStyle="1" w:styleId="Listoffigures">
    <w:name w:val="List of figures"/>
    <w:basedOn w:val="Contents"/>
    <w:rsid w:val="007A4185"/>
    <w:pPr>
      <w:pageBreakBefore w:val="0"/>
      <w:spacing w:before="120"/>
    </w:pPr>
  </w:style>
  <w:style w:type="paragraph" w:styleId="ListParagraph">
    <w:name w:val="List Paragraph"/>
    <w:basedOn w:val="Normal"/>
    <w:uiPriority w:val="34"/>
    <w:qFormat/>
    <w:rsid w:val="007A4185"/>
    <w:pPr>
      <w:ind w:left="720"/>
      <w:contextualSpacing/>
    </w:pPr>
  </w:style>
  <w:style w:type="paragraph" w:customStyle="1" w:styleId="Longquote">
    <w:name w:val="Long quote"/>
    <w:basedOn w:val="Normal"/>
    <w:qFormat/>
    <w:rsid w:val="007A4185"/>
    <w:pPr>
      <w:suppressAutoHyphens/>
      <w:autoSpaceDE w:val="0"/>
      <w:autoSpaceDN w:val="0"/>
      <w:adjustRightInd w:val="0"/>
      <w:spacing w:before="360" w:after="360" w:line="300" w:lineRule="atLeast"/>
      <w:ind w:left="1134" w:right="1134"/>
      <w:textAlignment w:val="center"/>
    </w:pPr>
    <w:rPr>
      <w:rFonts w:cs="Times New Roman"/>
      <w:i/>
    </w:rPr>
  </w:style>
  <w:style w:type="paragraph" w:styleId="NoSpacing">
    <w:name w:val="No Spacing"/>
    <w:uiPriority w:val="1"/>
    <w:qFormat/>
    <w:rsid w:val="007A4185"/>
    <w:pPr>
      <w:spacing w:after="0" w:line="240" w:lineRule="auto"/>
    </w:pPr>
    <w:rPr>
      <w:rFonts w:ascii="Calibri" w:hAnsi="Calibri"/>
      <w:color w:val="000000" w:themeColor="text1"/>
    </w:rPr>
  </w:style>
  <w:style w:type="paragraph" w:customStyle="1" w:styleId="Source">
    <w:name w:val="Source"/>
    <w:basedOn w:val="Normal"/>
    <w:qFormat/>
    <w:rsid w:val="007A4185"/>
    <w:pPr>
      <w:pBdr>
        <w:top w:val="single" w:sz="4" w:space="1" w:color="7F7F7F" w:themeColor="text1" w:themeTint="80"/>
      </w:pBdr>
      <w:autoSpaceDE w:val="0"/>
      <w:autoSpaceDN w:val="0"/>
      <w:adjustRightInd w:val="0"/>
      <w:spacing w:after="480"/>
      <w:ind w:left="993" w:hanging="993"/>
    </w:pPr>
    <w:rPr>
      <w:rFonts w:cstheme="minorHAnsi"/>
      <w:i/>
      <w:iCs/>
      <w:sz w:val="18"/>
      <w:szCs w:val="16"/>
    </w:rPr>
  </w:style>
  <w:style w:type="paragraph" w:customStyle="1" w:styleId="Note">
    <w:name w:val="Note"/>
    <w:basedOn w:val="Source"/>
    <w:qFormat/>
    <w:rsid w:val="007A4185"/>
    <w:pPr>
      <w:keepNext/>
      <w:spacing w:after="0"/>
    </w:pPr>
  </w:style>
  <w:style w:type="character" w:styleId="PageNumber">
    <w:name w:val="page number"/>
    <w:basedOn w:val="DefaultParagraphFont"/>
    <w:uiPriority w:val="99"/>
    <w:rsid w:val="007A4185"/>
    <w:rPr>
      <w:rFonts w:asciiTheme="minorHAnsi" w:hAnsiTheme="minorHAnsi"/>
      <w:sz w:val="16"/>
    </w:rPr>
  </w:style>
  <w:style w:type="character" w:styleId="PlaceholderText">
    <w:name w:val="Placeholder Text"/>
    <w:uiPriority w:val="99"/>
    <w:qFormat/>
    <w:rsid w:val="007A4185"/>
  </w:style>
  <w:style w:type="paragraph" w:styleId="Quote">
    <w:name w:val="Quote"/>
    <w:basedOn w:val="Normal"/>
    <w:next w:val="Normal"/>
    <w:link w:val="QuoteChar"/>
    <w:uiPriority w:val="9"/>
    <w:qFormat/>
    <w:rsid w:val="007A4185"/>
    <w:pPr>
      <w:spacing w:line="480" w:lineRule="exact"/>
    </w:pPr>
    <w:rPr>
      <w:rFonts w:cstheme="minorHAnsi"/>
      <w:i/>
      <w:iCs/>
      <w:color w:val="4D4D4D"/>
      <w:sz w:val="40"/>
      <w:szCs w:val="40"/>
    </w:rPr>
  </w:style>
  <w:style w:type="character" w:customStyle="1" w:styleId="QuoteChar">
    <w:name w:val="Quote Char"/>
    <w:basedOn w:val="DefaultParagraphFont"/>
    <w:link w:val="Quote"/>
    <w:uiPriority w:val="9"/>
    <w:rsid w:val="007A4185"/>
    <w:rPr>
      <w:rFonts w:ascii="Calibri" w:hAnsi="Calibri" w:cstheme="minorHAnsi"/>
      <w:i/>
      <w:iCs/>
      <w:color w:val="4D4D4D"/>
      <w:sz w:val="40"/>
      <w:szCs w:val="40"/>
    </w:rPr>
  </w:style>
  <w:style w:type="paragraph" w:customStyle="1" w:styleId="References">
    <w:name w:val="References"/>
    <w:basedOn w:val="Heading1"/>
    <w:rsid w:val="007A4185"/>
    <w:pPr>
      <w:numPr>
        <w:numId w:val="0"/>
      </w:numPr>
      <w:spacing w:after="600"/>
      <w:ind w:left="2410"/>
    </w:pPr>
  </w:style>
  <w:style w:type="paragraph" w:customStyle="1" w:styleId="Subsubtitle">
    <w:name w:val="Sub subtitle"/>
    <w:basedOn w:val="Normal"/>
    <w:qFormat/>
    <w:rsid w:val="007A4185"/>
  </w:style>
  <w:style w:type="paragraph" w:styleId="Subtitle">
    <w:name w:val="Subtitle"/>
    <w:basedOn w:val="Normal"/>
    <w:next w:val="Normal"/>
    <w:link w:val="SubtitleChar"/>
    <w:uiPriority w:val="9"/>
    <w:qFormat/>
    <w:rsid w:val="007A4185"/>
    <w:pPr>
      <w:numPr>
        <w:ilvl w:val="1"/>
      </w:numPr>
      <w:spacing w:after="240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7A4185"/>
    <w:rPr>
      <w:rFonts w:ascii="Calibri" w:eastAsiaTheme="majorEastAsia" w:hAnsi="Calibri" w:cstheme="majorBidi"/>
      <w:b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7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A4185"/>
    <w:pPr>
      <w:tabs>
        <w:tab w:val="left" w:pos="3402"/>
        <w:tab w:val="right" w:leader="dot" w:pos="9639"/>
      </w:tabs>
      <w:spacing w:line="400" w:lineRule="exact"/>
      <w:ind w:left="3402" w:hanging="992"/>
    </w:pPr>
    <w:rPr>
      <w:noProof/>
    </w:rPr>
  </w:style>
  <w:style w:type="paragraph" w:customStyle="1" w:styleId="Tabletitle">
    <w:name w:val="Table title"/>
    <w:qFormat/>
    <w:rsid w:val="007A4185"/>
    <w:pPr>
      <w:keepNext/>
      <w:numPr>
        <w:numId w:val="15"/>
      </w:numPr>
      <w:pBdr>
        <w:top w:val="single" w:sz="4" w:space="1" w:color="7F7F7F" w:themeColor="text1" w:themeTint="80"/>
      </w:pBdr>
      <w:spacing w:before="480" w:after="120" w:line="220" w:lineRule="atLeast"/>
    </w:pPr>
    <w:rPr>
      <w:rFonts w:ascii="Calibri" w:hAnsi="Calibri" w:cstheme="minorHAnsi"/>
      <w:b/>
      <w:iCs/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5"/>
    <w:rsid w:val="007A4185"/>
    <w:pPr>
      <w:pBdr>
        <w:bottom w:val="single" w:sz="4" w:space="12" w:color="auto"/>
      </w:pBdr>
      <w:spacing w:before="1080" w:line="600" w:lineRule="exact"/>
      <w:ind w:left="2410"/>
    </w:pPr>
    <w:rPr>
      <w:rFonts w:cstheme="minorHAnsi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7A4185"/>
    <w:rPr>
      <w:rFonts w:ascii="Calibri" w:hAnsi="Calibri" w:cstheme="minorHAnsi"/>
      <w:color w:val="000000" w:themeColor="text1"/>
      <w:sz w:val="60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7A4185"/>
    <w:pPr>
      <w:tabs>
        <w:tab w:val="right" w:leader="dot" w:pos="9629"/>
      </w:tabs>
      <w:spacing w:after="120"/>
      <w:ind w:left="2410"/>
    </w:pPr>
    <w:rPr>
      <w:rFonts w:cs="Arial"/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7A4185"/>
    <w:pPr>
      <w:tabs>
        <w:tab w:val="left" w:pos="3261"/>
      </w:tabs>
      <w:spacing w:after="60"/>
      <w:ind w:left="3261" w:hanging="426"/>
    </w:pPr>
    <w:rPr>
      <w:b/>
    </w:rPr>
  </w:style>
  <w:style w:type="paragraph" w:styleId="TOC3">
    <w:name w:val="toc 3"/>
    <w:basedOn w:val="TableofFigures"/>
    <w:next w:val="Normal"/>
    <w:autoRedefine/>
    <w:uiPriority w:val="19"/>
    <w:unhideWhenUsed/>
    <w:rsid w:val="007A4185"/>
    <w:pPr>
      <w:tabs>
        <w:tab w:val="clear" w:pos="3402"/>
        <w:tab w:val="left" w:pos="3544"/>
      </w:tabs>
      <w:ind w:left="3544" w:hanging="1134"/>
    </w:pPr>
  </w:style>
  <w:style w:type="paragraph" w:styleId="TOCHeading">
    <w:name w:val="TOC Heading"/>
    <w:basedOn w:val="Heading1"/>
    <w:next w:val="Normal"/>
    <w:uiPriority w:val="9"/>
    <w:unhideWhenUsed/>
    <w:qFormat/>
    <w:rsid w:val="007A4185"/>
    <w:pPr>
      <w:keepNext/>
      <w:keepLines/>
      <w:pageBreakBefore w:val="0"/>
      <w:autoSpaceDE/>
      <w:autoSpaceDN/>
      <w:adjustRightInd/>
      <w:spacing w:before="480" w:line="276" w:lineRule="auto"/>
      <w:ind w:left="0" w:firstLine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Version">
    <w:name w:val="Version"/>
    <w:basedOn w:val="Normal"/>
    <w:rsid w:val="007A4185"/>
    <w:pPr>
      <w:spacing w:before="840" w:line="360" w:lineRule="exact"/>
      <w:ind w:left="2410"/>
    </w:pPr>
    <w:rPr>
      <w:rFonts w:asciiTheme="minorHAnsi" w:hAnsiTheme="minorHAnsi" w:cstheme="minorHAnsi"/>
      <w:color w:val="666666"/>
      <w:sz w:val="28"/>
      <w:szCs w:val="30"/>
    </w:rPr>
  </w:style>
  <w:style w:type="table" w:customStyle="1" w:styleId="Vividtable">
    <w:name w:val="Vivid table"/>
    <w:basedOn w:val="TableNormal"/>
    <w:uiPriority w:val="99"/>
    <w:rsid w:val="007A4185"/>
    <w:pPr>
      <w:spacing w:after="0" w:line="240" w:lineRule="auto"/>
    </w:pPr>
    <w:rPr>
      <w:sz w:val="18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band1Horz">
      <w:tblPr/>
      <w:tcPr>
        <w:shd w:val="clear" w:color="auto" w:fill="DDDDDD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5FA"/>
    <w:rPr>
      <w:rFonts w:ascii="Calibri" w:hAnsi="Calibr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8A34C1B804487783B2D6E744E74" ma:contentTypeVersion="10" ma:contentTypeDescription="Create a new document." ma:contentTypeScope="" ma:versionID="8490df62d97fca96d24d428b43da911a">
  <xsd:schema xmlns:xsd="http://www.w3.org/2001/XMLSchema" xmlns:xs="http://www.w3.org/2001/XMLSchema" xmlns:p="http://schemas.microsoft.com/office/2006/metadata/properties" xmlns:ns2="b5fc07e1-684f-42dd-a9b9-4a385070eb2f" xmlns:ns3="40da89ef-49c0-40fe-8775-bed27f6d4e3e" targetNamespace="http://schemas.microsoft.com/office/2006/metadata/properties" ma:root="true" ma:fieldsID="e56aa697fe86e3eee7bffd5f3f0078c1" ns2:_="" ns3:_="">
    <xsd:import namespace="b5fc07e1-684f-42dd-a9b9-4a385070eb2f"/>
    <xsd:import namespace="40da89ef-49c0-40fe-8775-bed27f6d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c07e1-684f-42dd-a9b9-4a385070e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a89ef-49c0-40fe-8775-bed27f6d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AFBD-3390-4A90-9E5E-0DDD3B435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1CFD97-393E-4470-9F10-ACD398DF07B9}"/>
</file>

<file path=customXml/itemProps3.xml><?xml version="1.0" encoding="utf-8"?>
<ds:datastoreItem xmlns:ds="http://schemas.openxmlformats.org/officeDocument/2006/customXml" ds:itemID="{2FBC6A27-504B-4815-9ABD-54C59B3DE4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2553D1-AFDD-48BC-BFDB-102B398C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3188</Words>
  <Characters>18173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Shyamal</dc:creator>
  <cp:lastModifiedBy>Josh Cowley</cp:lastModifiedBy>
  <cp:revision>230</cp:revision>
  <dcterms:created xsi:type="dcterms:W3CDTF">2018-03-08T14:44:00Z</dcterms:created>
  <dcterms:modified xsi:type="dcterms:W3CDTF">2019-06-04T08:23:00Z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0x01010071A458A34C1B804487783B2D6E744E74</vt:lpwstr>
  </property>
</Properties>
</file>