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D3726" w14:textId="42AAD991" w:rsidR="00280B59" w:rsidRPr="00280B59" w:rsidRDefault="00A27AD2" w:rsidP="00280B59">
      <w:pPr>
        <w:pStyle w:val="Heading1"/>
        <w:numPr>
          <w:ilvl w:val="0"/>
          <w:numId w:val="0"/>
        </w:numPr>
        <w:ind w:left="142"/>
      </w:pPr>
      <w:r>
        <w:t xml:space="preserve">Technical note on </w:t>
      </w:r>
      <w:r w:rsidR="00C7251B">
        <w:t xml:space="preserve">coal, </w:t>
      </w:r>
      <w:r>
        <w:t>o</w:t>
      </w:r>
      <w:commentRangeStart w:id="0"/>
      <w:r w:rsidR="00D03A0F">
        <w:t xml:space="preserve">il and gas </w:t>
      </w:r>
      <w:r>
        <w:t xml:space="preserve">demand destruction </w:t>
      </w:r>
      <w:r w:rsidR="00280B59" w:rsidRPr="00685D6D">
        <w:rPr>
          <w:color w:val="FF0000"/>
        </w:rPr>
        <w:t>[internal use only]</w:t>
      </w:r>
      <w:commentRangeEnd w:id="0"/>
      <w:r w:rsidR="00B03B25">
        <w:rPr>
          <w:rStyle w:val="CommentReference"/>
          <w:rFonts w:cstheme="minorBidi"/>
        </w:rPr>
        <w:commentReference w:id="0"/>
      </w:r>
    </w:p>
    <w:p w14:paraId="424A96A9" w14:textId="47D2D9B7" w:rsidR="007E1EF4" w:rsidRDefault="001C47C8" w:rsidP="007E1EF4">
      <w:pPr>
        <w:rPr>
          <w:b/>
        </w:rPr>
      </w:pPr>
      <w:r w:rsidRPr="003A79FC">
        <w:rPr>
          <w:b/>
        </w:rPr>
        <w:t xml:space="preserve">This note </w:t>
      </w:r>
      <w:r w:rsidR="002779FE" w:rsidRPr="003A79FC">
        <w:rPr>
          <w:b/>
        </w:rPr>
        <w:t xml:space="preserve">sets out the oil and gas </w:t>
      </w:r>
      <w:r w:rsidR="00B04170">
        <w:rPr>
          <w:b/>
        </w:rPr>
        <w:t>demand destruction (</w:t>
      </w:r>
      <w:r w:rsidR="002779FE" w:rsidRPr="003A79FC">
        <w:rPr>
          <w:b/>
        </w:rPr>
        <w:t>asset stranding</w:t>
      </w:r>
      <w:r w:rsidR="00B04170">
        <w:rPr>
          <w:b/>
        </w:rPr>
        <w:t>)</w:t>
      </w:r>
      <w:r w:rsidR="002779FE" w:rsidRPr="003A79FC">
        <w:rPr>
          <w:b/>
        </w:rPr>
        <w:t xml:space="preserve"> methodology used in the low carbon portfolio tool.</w:t>
      </w:r>
    </w:p>
    <w:p w14:paraId="7EF72BE0" w14:textId="6B5B2DE1" w:rsidR="003B06B2" w:rsidRDefault="003B06B2" w:rsidP="007E1EF4">
      <w:pPr>
        <w:rPr>
          <w:b/>
        </w:rPr>
      </w:pPr>
    </w:p>
    <w:p w14:paraId="23FBF42C" w14:textId="45E5EC17" w:rsidR="003B06B2" w:rsidRDefault="003B06B2" w:rsidP="007E1EF4">
      <w:pPr>
        <w:rPr>
          <w:b/>
        </w:rPr>
      </w:pPr>
      <w:r>
        <w:rPr>
          <w:b/>
        </w:rPr>
        <w:t>This note is struc</w:t>
      </w:r>
      <w:r w:rsidR="00876AD0">
        <w:rPr>
          <w:b/>
        </w:rPr>
        <w:t>tured as follows:</w:t>
      </w:r>
    </w:p>
    <w:p w14:paraId="209F1070" w14:textId="40D886AD" w:rsidR="00876AD0" w:rsidRDefault="00876AD0" w:rsidP="00876AD0">
      <w:pPr>
        <w:pStyle w:val="ListParagraph"/>
        <w:numPr>
          <w:ilvl w:val="0"/>
          <w:numId w:val="21"/>
        </w:numPr>
      </w:pPr>
      <w:r w:rsidRPr="00876AD0">
        <w:t xml:space="preserve">Section </w:t>
      </w:r>
      <w:r w:rsidR="009938BD">
        <w:fldChar w:fldCharType="begin"/>
      </w:r>
      <w:r w:rsidR="009938BD">
        <w:instrText xml:space="preserve"> REF _Ref508361213 \r \h </w:instrText>
      </w:r>
      <w:r w:rsidR="009938BD">
        <w:fldChar w:fldCharType="separate"/>
      </w:r>
      <w:r w:rsidR="009938BD">
        <w:t>1.1.1</w:t>
      </w:r>
      <w:r w:rsidR="009938BD">
        <w:fldChar w:fldCharType="end"/>
      </w:r>
      <w:r>
        <w:t xml:space="preserve"> sets out the motivation for the energy demand destruction approach</w:t>
      </w:r>
    </w:p>
    <w:p w14:paraId="7E58ADE8" w14:textId="73B413E6" w:rsidR="00876AD0" w:rsidRDefault="008D4EC3" w:rsidP="00876AD0">
      <w:pPr>
        <w:pStyle w:val="ListParagraph"/>
        <w:numPr>
          <w:ilvl w:val="0"/>
          <w:numId w:val="21"/>
        </w:numPr>
      </w:pPr>
      <w:r>
        <w:t xml:space="preserve">Section </w:t>
      </w:r>
      <w:r w:rsidR="009938BD">
        <w:fldChar w:fldCharType="begin"/>
      </w:r>
      <w:r w:rsidR="009938BD">
        <w:instrText xml:space="preserve"> REF _Ref508361239 \r \h </w:instrText>
      </w:r>
      <w:r w:rsidR="009938BD">
        <w:fldChar w:fldCharType="separate"/>
      </w:r>
      <w:r w:rsidR="009938BD">
        <w:t>1.1.2</w:t>
      </w:r>
      <w:r w:rsidR="009938BD">
        <w:fldChar w:fldCharType="end"/>
      </w:r>
      <w:r w:rsidR="00E415D6">
        <w:t xml:space="preserve"> details the methodology used in the demand destruction model</w:t>
      </w:r>
    </w:p>
    <w:p w14:paraId="3BDB931B" w14:textId="2F703B40" w:rsidR="00E415D6" w:rsidRPr="00876AD0" w:rsidRDefault="00E415D6" w:rsidP="00876AD0">
      <w:pPr>
        <w:pStyle w:val="ListParagraph"/>
        <w:numPr>
          <w:ilvl w:val="0"/>
          <w:numId w:val="21"/>
        </w:numPr>
      </w:pPr>
      <w:r>
        <w:t xml:space="preserve">Section </w:t>
      </w:r>
      <w:r>
        <w:fldChar w:fldCharType="begin"/>
      </w:r>
      <w:r>
        <w:instrText xml:space="preserve"> REF _Ref508361216 \r \h </w:instrText>
      </w:r>
      <w:r>
        <w:fldChar w:fldCharType="separate"/>
      </w:r>
      <w:r>
        <w:t>1.1.3</w:t>
      </w:r>
      <w:r>
        <w:fldChar w:fldCharType="end"/>
      </w:r>
      <w:r>
        <w:t xml:space="preserve"> maps out the steps used in the model</w:t>
      </w:r>
    </w:p>
    <w:p w14:paraId="266DD6A3" w14:textId="2E7D08A5" w:rsidR="00D03A0F" w:rsidRDefault="00D03A0F" w:rsidP="007E1EF4"/>
    <w:p w14:paraId="0DC16F7F" w14:textId="01D56C08" w:rsidR="003D51CF" w:rsidRDefault="00DD3C0B" w:rsidP="00AF46F1">
      <w:pPr>
        <w:pStyle w:val="Heading3"/>
      </w:pPr>
      <w:r>
        <w:t>Abstract</w:t>
      </w:r>
      <w:bookmarkStart w:id="1" w:name="_GoBack"/>
      <w:bookmarkEnd w:id="1"/>
    </w:p>
    <w:p w14:paraId="187CE1AD" w14:textId="1A9DD81A" w:rsidR="00405C64" w:rsidRPr="00BA69A4" w:rsidRDefault="00AB1660" w:rsidP="00405C64">
      <w:commentRangeStart w:id="2"/>
      <w:r>
        <w:rPr>
          <w:b/>
        </w:rPr>
        <w:t xml:space="preserve">Fossil fuel </w:t>
      </w:r>
      <w:r w:rsidR="00B04170">
        <w:rPr>
          <w:b/>
        </w:rPr>
        <w:t xml:space="preserve">demand destruction </w:t>
      </w:r>
      <w:r w:rsidR="0041334B" w:rsidRPr="00227DB2">
        <w:rPr>
          <w:b/>
        </w:rPr>
        <w:t>(</w:t>
      </w:r>
      <w:r w:rsidR="00B04170">
        <w:rPr>
          <w:b/>
        </w:rPr>
        <w:t>asset stranding</w:t>
      </w:r>
      <w:r w:rsidR="0041334B" w:rsidRPr="00227DB2">
        <w:rPr>
          <w:b/>
        </w:rPr>
        <w:t>)</w:t>
      </w:r>
      <w:r w:rsidR="005B47F7" w:rsidRPr="00227DB2">
        <w:rPr>
          <w:b/>
        </w:rPr>
        <w:t xml:space="preserve"> </w:t>
      </w:r>
      <w:r w:rsidR="005B2F8B">
        <w:rPr>
          <w:b/>
        </w:rPr>
        <w:t xml:space="preserve">is </w:t>
      </w:r>
      <w:r w:rsidR="005B47F7" w:rsidRPr="00227DB2">
        <w:rPr>
          <w:b/>
        </w:rPr>
        <w:t>a</w:t>
      </w:r>
      <w:r w:rsidR="00B25CD4" w:rsidRPr="00227DB2">
        <w:rPr>
          <w:b/>
        </w:rPr>
        <w:t xml:space="preserve">n important </w:t>
      </w:r>
      <w:r w:rsidR="00673814">
        <w:rPr>
          <w:b/>
        </w:rPr>
        <w:t xml:space="preserve">channel </w:t>
      </w:r>
      <w:r w:rsidR="002A2690">
        <w:rPr>
          <w:b/>
        </w:rPr>
        <w:t xml:space="preserve">in the modelling of </w:t>
      </w:r>
      <w:r w:rsidR="00E93E42" w:rsidRPr="00227DB2">
        <w:rPr>
          <w:b/>
        </w:rPr>
        <w:t>climate policy</w:t>
      </w:r>
      <w:r w:rsidR="00087735" w:rsidRPr="00227DB2">
        <w:rPr>
          <w:b/>
        </w:rPr>
        <w:t xml:space="preserve"> impacts</w:t>
      </w:r>
      <w:r w:rsidR="008C5C31" w:rsidRPr="00227DB2">
        <w:rPr>
          <w:b/>
        </w:rPr>
        <w:t>.</w:t>
      </w:r>
      <w:r w:rsidR="002D61DB">
        <w:t xml:space="preserve"> </w:t>
      </w:r>
      <w:r w:rsidR="00922E88">
        <w:t xml:space="preserve">Climate policy will </w:t>
      </w:r>
      <w:r w:rsidR="00922E88" w:rsidRPr="00922E88">
        <w:rPr>
          <w:b/>
        </w:rPr>
        <w:t>indirectly</w:t>
      </w:r>
      <w:r w:rsidR="00922E88">
        <w:t xml:space="preserve"> affect </w:t>
      </w:r>
      <w:r w:rsidR="00BA69A4">
        <w:t xml:space="preserve">the profits of </w:t>
      </w:r>
      <w:r w:rsidR="002A2690">
        <w:t>producers of fossil fuel resources</w:t>
      </w:r>
      <w:r w:rsidR="00BA69A4">
        <w:t>,</w:t>
      </w:r>
      <w:r w:rsidR="002A2690">
        <w:t xml:space="preserve"> whose </w:t>
      </w:r>
      <w:r w:rsidR="002A2690" w:rsidRPr="00E43354">
        <w:rPr>
          <w:b/>
        </w:rPr>
        <w:t>consumption</w:t>
      </w:r>
      <w:r w:rsidR="002A2690">
        <w:t xml:space="preserve"> is associated with </w:t>
      </w:r>
      <w:commentRangeEnd w:id="2"/>
      <w:r w:rsidR="002A2690">
        <w:rPr>
          <w:rStyle w:val="CommentReference"/>
        </w:rPr>
        <w:commentReference w:id="2"/>
      </w:r>
      <w:r w:rsidR="00BA69A4">
        <w:t>high levels of CO</w:t>
      </w:r>
      <w:r w:rsidR="00BA69A4">
        <w:rPr>
          <w:vertAlign w:val="subscript"/>
        </w:rPr>
        <w:t>2</w:t>
      </w:r>
      <w:r w:rsidR="00BA69A4">
        <w:t xml:space="preserve"> emissions</w:t>
      </w:r>
      <w:r w:rsidR="001961FD">
        <w:t>:</w:t>
      </w:r>
    </w:p>
    <w:p w14:paraId="387A3733" w14:textId="6FCC1C40" w:rsidR="00E43354" w:rsidRDefault="00982C43" w:rsidP="00E63272">
      <w:pPr>
        <w:pStyle w:val="ListParagraph"/>
        <w:numPr>
          <w:ilvl w:val="0"/>
          <w:numId w:val="19"/>
        </w:numPr>
      </w:pPr>
      <w:r>
        <w:t>C</w:t>
      </w:r>
      <w:r w:rsidR="00E63272">
        <w:t>arbon pricing</w:t>
      </w:r>
      <w:r>
        <w:t xml:space="preserve"> policies </w:t>
      </w:r>
      <w:r w:rsidR="00E63272" w:rsidRPr="00982C43">
        <w:rPr>
          <w:b/>
        </w:rPr>
        <w:t>directly</w:t>
      </w:r>
      <w:r w:rsidR="00E63272">
        <w:t xml:space="preserve"> impact the</w:t>
      </w:r>
      <w:r w:rsidR="00227DB2">
        <w:t xml:space="preserve"> </w:t>
      </w:r>
      <w:r w:rsidR="00DD090C">
        <w:t>profits of</w:t>
      </w:r>
      <w:r w:rsidR="00D07F9F">
        <w:t xml:space="preserve"> companies</w:t>
      </w:r>
      <w:r>
        <w:t xml:space="preserve"> manufacturing goods, for which </w:t>
      </w:r>
      <w:r w:rsidRPr="00E43354">
        <w:rPr>
          <w:b/>
        </w:rPr>
        <w:t>production</w:t>
      </w:r>
      <w:r>
        <w:rPr>
          <w:i/>
        </w:rPr>
        <w:t xml:space="preserve"> </w:t>
      </w:r>
      <w:r w:rsidRPr="005B0CB3">
        <w:rPr>
          <w:b/>
        </w:rPr>
        <w:t>is CO</w:t>
      </w:r>
      <w:r w:rsidRPr="005B0CB3">
        <w:rPr>
          <w:b/>
          <w:vertAlign w:val="subscript"/>
        </w:rPr>
        <w:t>2</w:t>
      </w:r>
      <w:r w:rsidRPr="005B0CB3">
        <w:rPr>
          <w:b/>
        </w:rPr>
        <w:t xml:space="preserve"> intensive</w:t>
      </w:r>
      <w:r>
        <w:t>, for instance, power generation, cement or steel-making</w:t>
      </w:r>
      <w:r w:rsidR="00E43354">
        <w:t>;</w:t>
      </w:r>
    </w:p>
    <w:p w14:paraId="07D1D9D5" w14:textId="145331E3" w:rsidR="00E63272" w:rsidRDefault="00D27E66" w:rsidP="00E63272">
      <w:pPr>
        <w:pStyle w:val="ListParagraph"/>
        <w:numPr>
          <w:ilvl w:val="0"/>
          <w:numId w:val="19"/>
        </w:numPr>
      </w:pPr>
      <w:r>
        <w:t>C</w:t>
      </w:r>
      <w:r w:rsidR="00134AB3">
        <w:t xml:space="preserve">limate policy </w:t>
      </w:r>
      <w:r w:rsidR="004A6154">
        <w:rPr>
          <w:b/>
        </w:rPr>
        <w:t>indirectly</w:t>
      </w:r>
      <w:r w:rsidR="004A6154">
        <w:t xml:space="preserve"> affect</w:t>
      </w:r>
      <w:r w:rsidR="00392624">
        <w:t>s</w:t>
      </w:r>
      <w:r w:rsidR="004A6154">
        <w:t xml:space="preserve"> </w:t>
      </w:r>
      <w:r>
        <w:t xml:space="preserve">the profits of </w:t>
      </w:r>
      <w:r w:rsidR="004A6154">
        <w:t xml:space="preserve">producers of high-carbon content goods, for which </w:t>
      </w:r>
      <w:r w:rsidR="004A6154">
        <w:rPr>
          <w:b/>
        </w:rPr>
        <w:t>consumption</w:t>
      </w:r>
      <w:r w:rsidR="004A6154">
        <w:t xml:space="preserve"> </w:t>
      </w:r>
      <w:r w:rsidR="004A6154" w:rsidRPr="005B0CB3">
        <w:rPr>
          <w:b/>
        </w:rPr>
        <w:t>is CO</w:t>
      </w:r>
      <w:r w:rsidR="004A6154" w:rsidRPr="005B0CB3">
        <w:rPr>
          <w:b/>
          <w:vertAlign w:val="subscript"/>
        </w:rPr>
        <w:t>2</w:t>
      </w:r>
      <w:r w:rsidR="004A6154" w:rsidRPr="005B0CB3">
        <w:rPr>
          <w:b/>
        </w:rPr>
        <w:t xml:space="preserve"> intensive</w:t>
      </w:r>
      <w:r w:rsidR="00126DD9">
        <w:t xml:space="preserve">, </w:t>
      </w:r>
      <w:r w:rsidR="00BC1BBA">
        <w:t xml:space="preserve">through lower demand, </w:t>
      </w:r>
      <w:r w:rsidR="00126DD9">
        <w:t>for instance, coal, oil</w:t>
      </w:r>
      <w:r w:rsidR="00960DE5">
        <w:t>,</w:t>
      </w:r>
      <w:r w:rsidR="00126DD9">
        <w:t xml:space="preserve"> and gas companies</w:t>
      </w:r>
      <w:r w:rsidR="00960DE5">
        <w:t>;</w:t>
      </w:r>
    </w:p>
    <w:p w14:paraId="1F1BE974" w14:textId="5245F507" w:rsidR="00960DE5" w:rsidRDefault="00D96FCC" w:rsidP="00E63272">
      <w:pPr>
        <w:pStyle w:val="ListParagraph"/>
        <w:numPr>
          <w:ilvl w:val="0"/>
          <w:numId w:val="19"/>
        </w:numPr>
      </w:pPr>
      <w:r>
        <w:t xml:space="preserve">These indirect effects require </w:t>
      </w:r>
      <w:r w:rsidR="00E400AA">
        <w:t xml:space="preserve">the use of alternative modelling approaches, as </w:t>
      </w:r>
      <w:commentRangeStart w:id="3"/>
      <w:r w:rsidR="00E400AA">
        <w:t>production-</w:t>
      </w:r>
      <w:r w:rsidR="003F06BF">
        <w:t>based</w:t>
      </w:r>
      <w:r w:rsidR="00E400AA">
        <w:t xml:space="preserve"> CO</w:t>
      </w:r>
      <w:r w:rsidR="00E400AA">
        <w:rPr>
          <w:vertAlign w:val="subscript"/>
        </w:rPr>
        <w:t>2</w:t>
      </w:r>
      <w:r w:rsidR="00E400AA">
        <w:t xml:space="preserve"> emissions</w:t>
      </w:r>
      <w:commentRangeEnd w:id="3"/>
      <w:r w:rsidR="00E400AA">
        <w:rPr>
          <w:rStyle w:val="CommentReference"/>
        </w:rPr>
        <w:commentReference w:id="3"/>
      </w:r>
      <w:r w:rsidR="00E400AA">
        <w:t xml:space="preserve"> </w:t>
      </w:r>
      <w:r w:rsidR="001F5EA1">
        <w:t xml:space="preserve">are a poor proxy for </w:t>
      </w:r>
      <w:r>
        <w:t xml:space="preserve">climate impacts </w:t>
      </w:r>
      <w:r w:rsidR="00C06B2D">
        <w:t>on the</w:t>
      </w:r>
      <w:r>
        <w:t xml:space="preserve">se </w:t>
      </w:r>
      <w:r w:rsidR="00C06B2D">
        <w:t>companies</w:t>
      </w:r>
      <w:r w:rsidR="0058491C">
        <w:t>.</w:t>
      </w:r>
    </w:p>
    <w:p w14:paraId="00303DA3" w14:textId="7023E220" w:rsidR="00405C64" w:rsidRDefault="00405C64" w:rsidP="00405C64"/>
    <w:p w14:paraId="2BA6E441" w14:textId="1638E4B7" w:rsidR="00AF46F1" w:rsidRDefault="00830274" w:rsidP="00830274">
      <w:pPr>
        <w:pStyle w:val="Heading3"/>
      </w:pPr>
      <w:bookmarkStart w:id="4" w:name="_Ref508361239"/>
      <w:r>
        <w:t>Modelling methodology</w:t>
      </w:r>
      <w:bookmarkEnd w:id="4"/>
    </w:p>
    <w:p w14:paraId="23241715" w14:textId="702C4DEC" w:rsidR="00A351C0" w:rsidRDefault="001C5E16" w:rsidP="00405C64">
      <w:r>
        <w:rPr>
          <w:b/>
        </w:rPr>
        <w:t>T</w:t>
      </w:r>
      <w:r w:rsidR="002C1EB5">
        <w:rPr>
          <w:b/>
        </w:rPr>
        <w:t>he</w:t>
      </w:r>
      <w:r w:rsidR="00615EFF">
        <w:rPr>
          <w:b/>
        </w:rPr>
        <w:t xml:space="preserve"> tool values the</w:t>
      </w:r>
      <w:r w:rsidR="002C1EB5">
        <w:rPr>
          <w:b/>
        </w:rPr>
        <w:t xml:space="preserve"> </w:t>
      </w:r>
      <w:r w:rsidR="00523CA1" w:rsidRPr="00523CA1">
        <w:rPr>
          <w:b/>
        </w:rPr>
        <w:t>i</w:t>
      </w:r>
      <w:r w:rsidR="00610986" w:rsidRPr="00523CA1">
        <w:rPr>
          <w:b/>
        </w:rPr>
        <w:t xml:space="preserve">mpacts </w:t>
      </w:r>
      <w:r w:rsidR="00523CA1" w:rsidRPr="00523CA1">
        <w:rPr>
          <w:b/>
        </w:rPr>
        <w:t xml:space="preserve">of </w:t>
      </w:r>
      <w:r w:rsidR="00615EFF">
        <w:rPr>
          <w:b/>
        </w:rPr>
        <w:t xml:space="preserve">fossil </w:t>
      </w:r>
      <w:r w:rsidR="00523CA1" w:rsidRPr="00523CA1">
        <w:rPr>
          <w:b/>
        </w:rPr>
        <w:t xml:space="preserve">demand destruction </w:t>
      </w:r>
      <w:r w:rsidR="00B43A64">
        <w:rPr>
          <w:b/>
        </w:rPr>
        <w:t xml:space="preserve">using </w:t>
      </w:r>
      <w:r w:rsidR="00226A3D">
        <w:rPr>
          <w:b/>
        </w:rPr>
        <w:t>changes in market</w:t>
      </w:r>
      <w:r w:rsidR="005C6C3B">
        <w:rPr>
          <w:b/>
        </w:rPr>
        <w:t xml:space="preserve"> price</w:t>
      </w:r>
      <w:r w:rsidR="00615EFF">
        <w:rPr>
          <w:b/>
        </w:rPr>
        <w:t>s</w:t>
      </w:r>
      <w:r w:rsidR="005C6C3B">
        <w:rPr>
          <w:b/>
        </w:rPr>
        <w:t xml:space="preserve">, and company supply curves </w:t>
      </w:r>
      <w:r w:rsidR="00B54783">
        <w:rPr>
          <w:b/>
        </w:rPr>
        <w:t xml:space="preserve">for coal, oil, and </w:t>
      </w:r>
      <w:r w:rsidR="005C6C3B">
        <w:rPr>
          <w:b/>
        </w:rPr>
        <w:t xml:space="preserve">natural </w:t>
      </w:r>
      <w:r w:rsidR="00B54783">
        <w:rPr>
          <w:b/>
        </w:rPr>
        <w:t>gas</w:t>
      </w:r>
      <w:r w:rsidR="00BE2766" w:rsidRPr="00523CA1">
        <w:rPr>
          <w:b/>
        </w:rPr>
        <w:t>.</w:t>
      </w:r>
      <w:r w:rsidR="00523CA1" w:rsidRPr="00523CA1">
        <w:t xml:space="preserve"> </w:t>
      </w:r>
      <w:r w:rsidR="00D94264">
        <w:t>Market price changes are determined based on aggregate quantities of fossil fuels</w:t>
      </w:r>
      <w:r w:rsidR="00AD5A49">
        <w:t xml:space="preserve"> under </w:t>
      </w:r>
      <w:r w:rsidR="00A22918">
        <w:t>each</w:t>
      </w:r>
      <w:r w:rsidR="00AD5A49">
        <w:t xml:space="preserve"> climate policy scenario</w:t>
      </w:r>
      <w:r w:rsidR="00DF45BC">
        <w:t xml:space="preserve">, and </w:t>
      </w:r>
      <w:r w:rsidR="00C5556C">
        <w:t xml:space="preserve">a ‘merit order style’ </w:t>
      </w:r>
      <w:r w:rsidR="00DF45BC">
        <w:t xml:space="preserve">supply curve for </w:t>
      </w:r>
      <w:r w:rsidR="00C5556C">
        <w:t>coal, oil, and natural gas.</w:t>
      </w:r>
      <w:r w:rsidR="00A22918">
        <w:t xml:space="preserve"> The intersection of the new market price, and</w:t>
      </w:r>
      <w:r w:rsidR="008E1C09">
        <w:t xml:space="preserve"> energy company supply curves then reveals how many barrels each company produces, and how large the profit impact is.</w:t>
      </w:r>
      <w:r w:rsidR="00DA1221">
        <w:t xml:space="preserve"> </w:t>
      </w:r>
      <w:r w:rsidR="008E1C09">
        <w:t xml:space="preserve">This approach is shown </w:t>
      </w:r>
      <w:r w:rsidR="00B06B30">
        <w:t xml:space="preserve">in </w:t>
      </w:r>
      <w:r w:rsidR="00B06B30">
        <w:fldChar w:fldCharType="begin"/>
      </w:r>
      <w:r w:rsidR="00B06B30">
        <w:instrText xml:space="preserve"> REF _Ref508021514 \r \h </w:instrText>
      </w:r>
      <w:r w:rsidR="00B06B30">
        <w:fldChar w:fldCharType="separate"/>
      </w:r>
      <w:r w:rsidR="00B06B30">
        <w:t>Figure 1</w:t>
      </w:r>
      <w:r w:rsidR="00B06B30">
        <w:fldChar w:fldCharType="end"/>
      </w:r>
      <w:r w:rsidR="008E1C09">
        <w:t>.</w:t>
      </w:r>
    </w:p>
    <w:p w14:paraId="7BFE0651" w14:textId="6577F704" w:rsidR="00BF1354" w:rsidRPr="000D25DC" w:rsidRDefault="00C4091E" w:rsidP="007F72B1">
      <w:pPr>
        <w:pStyle w:val="Charttitle"/>
        <w:ind w:left="992" w:hanging="992"/>
      </w:pPr>
      <w:bookmarkStart w:id="5" w:name="_Ref508021514"/>
      <w:r>
        <w:lastRenderedPageBreak/>
        <w:t xml:space="preserve">While oil industry supply determines the market price, each company’s supply curve determines </w:t>
      </w:r>
      <w:r w:rsidR="00D31DE7">
        <w:t>its quantity contraction, and loss of profit</w:t>
      </w:r>
      <w:bookmarkEnd w:id="5"/>
    </w:p>
    <w:p w14:paraId="0A5FA196" w14:textId="25C93387" w:rsidR="00BF1354" w:rsidRPr="00430244" w:rsidRDefault="00713AEC" w:rsidP="00FE46AB">
      <w:pPr>
        <w:keepNext/>
        <w:spacing w:before="240" w:after="240" w:line="240" w:lineRule="auto"/>
        <w:jc w:val="center"/>
        <w:rPr>
          <w:rStyle w:val="PlaceholderText"/>
        </w:rPr>
      </w:pPr>
      <w:r w:rsidRPr="00713AEC">
        <w:rPr>
          <w:noProof/>
        </w:rPr>
        <w:drawing>
          <wp:inline distT="0" distB="0" distL="0" distR="0" wp14:anchorId="4F8E59CD" wp14:editId="1885BEB7">
            <wp:extent cx="5140956" cy="22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0956" cy="2232000"/>
                    </a:xfrm>
                    <a:prstGeom prst="rect">
                      <a:avLst/>
                    </a:prstGeom>
                    <a:noFill/>
                    <a:ln>
                      <a:noFill/>
                    </a:ln>
                  </pic:spPr>
                </pic:pic>
              </a:graphicData>
            </a:graphic>
          </wp:inline>
        </w:drawing>
      </w:r>
    </w:p>
    <w:p w14:paraId="11C6A401" w14:textId="732FAB7E" w:rsidR="00BF1354" w:rsidRDefault="00BF1354" w:rsidP="00713AEC">
      <w:pPr>
        <w:pStyle w:val="Note"/>
        <w:spacing w:line="240" w:lineRule="auto"/>
      </w:pPr>
      <w:r>
        <w:t>Note:</w:t>
      </w:r>
      <w:r>
        <w:tab/>
      </w:r>
      <w:r w:rsidR="0072177A">
        <w:t xml:space="preserve">An extreme case would be a very cheap oil producer (for instance, Saudi Arabia or Iran), for which the RHS supply curve would </w:t>
      </w:r>
      <w:r w:rsidR="002F0FA2">
        <w:t>be low and flat</w:t>
      </w:r>
    </w:p>
    <w:p w14:paraId="4880CB3B" w14:textId="58F4FDB9" w:rsidR="00E66094" w:rsidRPr="005A132E" w:rsidRDefault="00BF1354" w:rsidP="00713AEC">
      <w:pPr>
        <w:pStyle w:val="Source"/>
        <w:spacing w:line="240" w:lineRule="auto"/>
      </w:pPr>
      <w:r w:rsidRPr="005A132E">
        <w:t>Source:</w:t>
      </w:r>
      <w:r>
        <w:tab/>
      </w:r>
      <w:hyperlink r:id="rId15" w:history="1">
        <w:r w:rsidR="00E66094" w:rsidRPr="004E7C7D">
          <w:rPr>
            <w:rStyle w:val="Hyperlink"/>
          </w:rPr>
          <w:t>https://vivideconomics.sharepoint.com/:p:/s/projects/171211HSB/EXfp0kqSt_pCiOgeIbXexRABO70jDYH5-Tyvstmx-cLJiA?e=0nZL2x</w:t>
        </w:r>
      </w:hyperlink>
    </w:p>
    <w:p w14:paraId="61346ED1" w14:textId="77777777" w:rsidR="00BC45D0" w:rsidRDefault="00BC45D0" w:rsidP="00BC45D0">
      <w:r>
        <w:rPr>
          <w:b/>
        </w:rPr>
        <w:t>Aggregate f</w:t>
      </w:r>
      <w:commentRangeStart w:id="6"/>
      <w:r w:rsidRPr="006E3C10">
        <w:rPr>
          <w:b/>
        </w:rPr>
        <w:t>ossil fuel quantities are determined by energy system modelling of climate policy scenarios.</w:t>
      </w:r>
      <w:r w:rsidRPr="006E3C10">
        <w:t xml:space="preserve"> </w:t>
      </w:r>
      <w:r>
        <w:t>Each 2DS climate policy scenario is associated with an emissions cap required to keep atmospheric CO</w:t>
      </w:r>
      <w:r>
        <w:rPr>
          <w:vertAlign w:val="subscript"/>
        </w:rPr>
        <w:t>2</w:t>
      </w:r>
      <w:r>
        <w:t xml:space="preserve"> levels sufficiently low for 2 degrees of global warming. The combustion of fossil fuels in power generation, industry, transport, and buildings is the largest source of CO</w:t>
      </w:r>
      <w:r>
        <w:rPr>
          <w:vertAlign w:val="subscript"/>
        </w:rPr>
        <w:t>2</w:t>
      </w:r>
      <w:r>
        <w:t xml:space="preserve"> emissions, so any 2DS scenario will involve a restriction on the use of coal, oil and gas. The system model optimises the quantity of each fuel, depending on the value derived from its combustion, the fuel’s value in CO</w:t>
      </w:r>
      <w:r>
        <w:rPr>
          <w:vertAlign w:val="subscript"/>
        </w:rPr>
        <w:t>2</w:t>
      </w:r>
      <w:r>
        <w:t xml:space="preserve"> emissions abatement, and its substitutability as a feedstock and fuel source.</w:t>
      </w:r>
      <w:commentRangeEnd w:id="6"/>
      <w:r>
        <w:rPr>
          <w:rStyle w:val="CommentReference"/>
        </w:rPr>
        <w:commentReference w:id="6"/>
      </w:r>
    </w:p>
    <w:p w14:paraId="338C28CF" w14:textId="77777777" w:rsidR="00BC45D0" w:rsidRDefault="00BC45D0" w:rsidP="00BC45D0">
      <w:pPr>
        <w:rPr>
          <w:b/>
        </w:rPr>
      </w:pPr>
    </w:p>
    <w:p w14:paraId="230661B8" w14:textId="2BB1F540" w:rsidR="00BC45D0" w:rsidRDefault="00BC45D0" w:rsidP="00BC45D0">
      <w:r>
        <w:rPr>
          <w:b/>
        </w:rPr>
        <w:t xml:space="preserve">Market price changes are found based on the aggregate fossil fuel quantities, and the industry supply curve for each fuel. </w:t>
      </w:r>
      <w:r>
        <w:t>The new industry price is then overlaid against each energy company’s supply curve, with the intersection yielding the firm’s production quantity.</w:t>
      </w:r>
      <w:r w:rsidR="0033148D">
        <w:t xml:space="preserve"> </w:t>
      </w:r>
      <w:r w:rsidR="004B4544">
        <w:t>Under this approach, e</w:t>
      </w:r>
      <w:r w:rsidR="0033148D">
        <w:t xml:space="preserve">ach energy company is a price taker in </w:t>
      </w:r>
      <w:r w:rsidR="004B4544">
        <w:t>global markets for coal, oil and natural gas.</w:t>
      </w:r>
    </w:p>
    <w:p w14:paraId="46DFA57D" w14:textId="77777777" w:rsidR="00BC45D0" w:rsidRDefault="00BC45D0" w:rsidP="00BC45D0"/>
    <w:p w14:paraId="0CDC777E" w14:textId="77777777" w:rsidR="00BC45D0" w:rsidRPr="00AB17AB" w:rsidRDefault="00BC45D0" w:rsidP="00BC45D0">
      <w:pPr>
        <w:rPr>
          <w:b/>
        </w:rPr>
      </w:pPr>
      <w:commentRangeStart w:id="7"/>
      <w:r w:rsidRPr="00AB17AB">
        <w:rPr>
          <w:b/>
        </w:rPr>
        <w:t xml:space="preserve">This analysis is </w:t>
      </w:r>
      <w:r>
        <w:rPr>
          <w:b/>
        </w:rPr>
        <w:t xml:space="preserve">repeated </w:t>
      </w:r>
      <w:r w:rsidRPr="00AB17AB">
        <w:rPr>
          <w:b/>
        </w:rPr>
        <w:t>for coal, oil, and natural gas, for each model year (2017-2040)</w:t>
      </w:r>
      <w:r>
        <w:rPr>
          <w:b/>
        </w:rPr>
        <w:t>, and for each company in the MSCI World index identified as active in fossil fuel exploration and production.</w:t>
      </w:r>
      <w:commentRangeEnd w:id="7"/>
      <w:r>
        <w:rPr>
          <w:rStyle w:val="CommentReference"/>
        </w:rPr>
        <w:commentReference w:id="7"/>
      </w:r>
    </w:p>
    <w:p w14:paraId="7783163A" w14:textId="77777777" w:rsidR="00BC45D0" w:rsidRDefault="00BC45D0" w:rsidP="00634AC6">
      <w:pPr>
        <w:rPr>
          <w:b/>
        </w:rPr>
      </w:pPr>
    </w:p>
    <w:p w14:paraId="174C6AF0" w14:textId="3FF64A98" w:rsidR="00B82EBF" w:rsidRPr="003A5CE4" w:rsidRDefault="00BA234A" w:rsidP="00634AC6">
      <w:r>
        <w:rPr>
          <w:b/>
        </w:rPr>
        <w:t>Analysis shows that t</w:t>
      </w:r>
      <w:r w:rsidR="001D3D8D">
        <w:rPr>
          <w:b/>
        </w:rPr>
        <w:t xml:space="preserve">he majority of </w:t>
      </w:r>
      <w:r w:rsidR="00B82EBF">
        <w:rPr>
          <w:b/>
        </w:rPr>
        <w:t xml:space="preserve">energy industry </w:t>
      </w:r>
      <w:r w:rsidR="001D3D8D">
        <w:rPr>
          <w:b/>
        </w:rPr>
        <w:t xml:space="preserve">profit </w:t>
      </w:r>
      <w:r w:rsidR="00B82EBF">
        <w:rPr>
          <w:b/>
        </w:rPr>
        <w:t xml:space="preserve">losses </w:t>
      </w:r>
      <w:r w:rsidR="00E41272">
        <w:rPr>
          <w:b/>
        </w:rPr>
        <w:t xml:space="preserve">can be attributed </w:t>
      </w:r>
      <w:r>
        <w:rPr>
          <w:b/>
        </w:rPr>
        <w:t xml:space="preserve">to </w:t>
      </w:r>
      <w:r w:rsidR="0047068C">
        <w:rPr>
          <w:b/>
        </w:rPr>
        <w:t xml:space="preserve">falling margins rather than </w:t>
      </w:r>
      <w:r w:rsidR="00AB17AB">
        <w:rPr>
          <w:b/>
        </w:rPr>
        <w:t xml:space="preserve">stranded </w:t>
      </w:r>
      <w:r w:rsidR="005377CA">
        <w:rPr>
          <w:b/>
        </w:rPr>
        <w:t>assets.</w:t>
      </w:r>
      <w:r w:rsidR="00881B3C">
        <w:rPr>
          <w:b/>
        </w:rPr>
        <w:t xml:space="preserve"> </w:t>
      </w:r>
      <w:r w:rsidR="00881B3C">
        <w:t xml:space="preserve">While </w:t>
      </w:r>
      <w:r w:rsidR="00AF6830">
        <w:t xml:space="preserve">energy companies lose out on all the profits from fossil </w:t>
      </w:r>
      <w:r w:rsidR="00725C8B">
        <w:t xml:space="preserve">fuel resources </w:t>
      </w:r>
      <w:r w:rsidR="00AF6830">
        <w:t>which are no longer extracted</w:t>
      </w:r>
      <w:r w:rsidR="00BC45D0">
        <w:t xml:space="preserve"> (stranded assets)</w:t>
      </w:r>
      <w:r w:rsidR="00AF6830">
        <w:t xml:space="preserve">, these are </w:t>
      </w:r>
      <w:r w:rsidR="00725C8B">
        <w:t>the most expensive (least profitable) extractable assets in their portfolios</w:t>
      </w:r>
      <w:r w:rsidR="006D5CFA">
        <w:t>.</w:t>
      </w:r>
      <w:r w:rsidR="00BC45D0">
        <w:t xml:space="preserve"> The fall in production from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BC45D0">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BC45D0">
        <w:rPr>
          <w:rFonts w:eastAsiaTheme="minorEastAsia"/>
        </w:rPr>
        <w:t xml:space="preserve"> </w:t>
      </w:r>
      <w:r w:rsidR="003A5CE4">
        <w:t xml:space="preserve">in </w:t>
      </w:r>
      <w:r w:rsidR="003A5CE4">
        <w:fldChar w:fldCharType="begin"/>
      </w:r>
      <w:r w:rsidR="003A5CE4">
        <w:instrText xml:space="preserve"> REF _Ref508023518 \r \h </w:instrText>
      </w:r>
      <w:r w:rsidR="003A5CE4">
        <w:fldChar w:fldCharType="separate"/>
      </w:r>
      <w:r w:rsidR="003A5CE4">
        <w:t>Figure 2</w:t>
      </w:r>
      <w:r w:rsidR="003A5CE4">
        <w:fldChar w:fldCharType="end"/>
      </w:r>
      <w:r w:rsidR="003A5CE4">
        <w:t xml:space="preserve"> represents stranded oil assets, that is, oil which is currently viable, but is no longer profitable to extract under a 2DS climate policy scenario.</w:t>
      </w:r>
      <w:r w:rsidR="002438AB">
        <w:t xml:space="preserve"> </w:t>
      </w:r>
      <w:r w:rsidR="00963DEA">
        <w:t xml:space="preserve">By comparison, the fall in oil price affects the profitability of </w:t>
      </w:r>
      <w:r w:rsidR="00455458">
        <w:t xml:space="preserve">every barrel which is still </w:t>
      </w:r>
      <w:r w:rsidR="002438AB">
        <w:t xml:space="preserve">profitable </w:t>
      </w:r>
      <w:r w:rsidR="001F02EA">
        <w:t xml:space="preserve">under </w:t>
      </w:r>
      <w:r w:rsidR="00705287">
        <w:t xml:space="preserve">the 2DS </w:t>
      </w:r>
      <w:r w:rsidR="00C9469B">
        <w:t>scenario</w:t>
      </w:r>
      <w:r w:rsidR="002438AB">
        <w:t xml:space="preserve"> oil price,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9469B">
        <w:t>.</w:t>
      </w:r>
      <w:r w:rsidR="005B4E1C">
        <w:t xml:space="preserve"> </w:t>
      </w:r>
      <w:r w:rsidR="0063105A">
        <w:t xml:space="preserve">This ‘margin squeeze’ is responsible for the vast majority of profit losses in the </w:t>
      </w:r>
      <w:r w:rsidR="002A47D9">
        <w:t>energy industry</w:t>
      </w:r>
      <w:r w:rsidR="0063105A">
        <w:t xml:space="preserve">. </w:t>
      </w:r>
      <w:r w:rsidR="005B4E1C">
        <w:t xml:space="preserve">The loss of profit on stranded </w:t>
      </w:r>
      <w:r w:rsidR="0043682D">
        <w:t xml:space="preserve">units (quantity impact) </w:t>
      </w:r>
      <w:r w:rsidR="005B4E1C">
        <w:t xml:space="preserve">and ‘inframarginal’ units </w:t>
      </w:r>
      <w:r w:rsidR="0043682D">
        <w:t xml:space="preserve">(margin impact) </w:t>
      </w:r>
      <w:r w:rsidR="005B4E1C">
        <w:t xml:space="preserve">is shown in </w:t>
      </w:r>
      <w:r w:rsidR="005B4E1C">
        <w:fldChar w:fldCharType="begin"/>
      </w:r>
      <w:r w:rsidR="005B4E1C">
        <w:instrText xml:space="preserve"> REF _Ref508023518 \r \h </w:instrText>
      </w:r>
      <w:r w:rsidR="005B4E1C">
        <w:fldChar w:fldCharType="separate"/>
      </w:r>
      <w:r w:rsidR="005B4E1C">
        <w:t>Figure 2</w:t>
      </w:r>
      <w:r w:rsidR="005B4E1C">
        <w:fldChar w:fldCharType="end"/>
      </w:r>
      <w:r w:rsidR="005B4E1C">
        <w:t>.</w:t>
      </w:r>
    </w:p>
    <w:p w14:paraId="59883749" w14:textId="59F8D3DA" w:rsidR="005801DB" w:rsidRPr="000D25DC" w:rsidRDefault="00425B51" w:rsidP="007F72B1">
      <w:pPr>
        <w:pStyle w:val="Charttitle"/>
        <w:ind w:left="992" w:hanging="992"/>
      </w:pPr>
      <w:bookmarkStart w:id="8" w:name="_Ref508023518"/>
      <w:r>
        <w:lastRenderedPageBreak/>
        <w:t xml:space="preserve">Margin squeeze is the main cause of energy industry profit losses </w:t>
      </w:r>
      <w:r w:rsidR="002939C2">
        <w:t>under 2DS policy scenarios</w:t>
      </w:r>
      <w:bookmarkEnd w:id="8"/>
    </w:p>
    <w:p w14:paraId="618B1D9C" w14:textId="060C59F9" w:rsidR="005801DB" w:rsidRPr="00430244" w:rsidRDefault="005801DB" w:rsidP="00FE46AB">
      <w:pPr>
        <w:keepNext/>
        <w:spacing w:before="240" w:after="240" w:line="240" w:lineRule="auto"/>
        <w:jc w:val="center"/>
        <w:rPr>
          <w:rStyle w:val="PlaceholderText"/>
        </w:rPr>
      </w:pPr>
      <w:r w:rsidRPr="005801DB">
        <w:rPr>
          <w:noProof/>
        </w:rPr>
        <w:drawing>
          <wp:inline distT="0" distB="0" distL="0" distR="0" wp14:anchorId="10263E5D" wp14:editId="27B6F94F">
            <wp:extent cx="3624098" cy="237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4098" cy="2376000"/>
                    </a:xfrm>
                    <a:prstGeom prst="rect">
                      <a:avLst/>
                    </a:prstGeom>
                    <a:noFill/>
                    <a:ln>
                      <a:noFill/>
                    </a:ln>
                  </pic:spPr>
                </pic:pic>
              </a:graphicData>
            </a:graphic>
          </wp:inline>
        </w:drawing>
      </w:r>
    </w:p>
    <w:p w14:paraId="30FBC1DD" w14:textId="4D881CAB" w:rsidR="005801DB" w:rsidRDefault="005801DB" w:rsidP="0028128B">
      <w:pPr>
        <w:pStyle w:val="Note"/>
      </w:pPr>
      <w:r>
        <w:t>Note:</w:t>
      </w:r>
      <w:r>
        <w:tab/>
        <w:t>N/A</w:t>
      </w:r>
    </w:p>
    <w:p w14:paraId="45490D1B" w14:textId="457139B4" w:rsidR="005801DB" w:rsidRPr="005A132E" w:rsidRDefault="005801DB" w:rsidP="005801DB">
      <w:pPr>
        <w:pStyle w:val="Source"/>
        <w:spacing w:line="240" w:lineRule="auto"/>
      </w:pPr>
      <w:r w:rsidRPr="005A132E">
        <w:t>Source:</w:t>
      </w:r>
      <w:r>
        <w:tab/>
      </w:r>
      <w:hyperlink r:id="rId17" w:history="1">
        <w:r w:rsidRPr="004E7C7D">
          <w:rPr>
            <w:rStyle w:val="Hyperlink"/>
          </w:rPr>
          <w:t>https://vivideconomics.sharepoint.com/:p:/s/projects/171211HSB/EXfp0kqSt_pCiOgeIbXexRABO70jDYH5-Tyvstmx-cLJiA?e=0nZL2x</w:t>
        </w:r>
      </w:hyperlink>
    </w:p>
    <w:p w14:paraId="74FCEC7C" w14:textId="07162012" w:rsidR="00C410BB" w:rsidRPr="00CC1710" w:rsidRDefault="00CC1710" w:rsidP="0001573B">
      <w:r>
        <w:rPr>
          <w:b/>
        </w:rPr>
        <w:t xml:space="preserve">The aggregate effect of </w:t>
      </w:r>
      <w:r w:rsidR="003D5172">
        <w:rPr>
          <w:b/>
        </w:rPr>
        <w:t xml:space="preserve">fossil fuel demand destruction </w:t>
      </w:r>
      <w:r>
        <w:rPr>
          <w:b/>
        </w:rPr>
        <w:t xml:space="preserve">on a company’s valuation is found in net present value </w:t>
      </w:r>
      <w:r w:rsidR="0099577B">
        <w:rPr>
          <w:b/>
        </w:rPr>
        <w:t xml:space="preserve">(NPV) </w:t>
      </w:r>
      <w:r>
        <w:rPr>
          <w:b/>
        </w:rPr>
        <w:t xml:space="preserve">terms. </w:t>
      </w:r>
      <w:r w:rsidR="0099577B">
        <w:t>The N</w:t>
      </w:r>
      <w:r w:rsidR="003D5172">
        <w:t>PV of oil</w:t>
      </w:r>
      <w:r w:rsidR="00BF35EE">
        <w:t xml:space="preserve"> profits under business-as-usual, and 2DS scenarios</w:t>
      </w:r>
      <w:r w:rsidR="002611C2">
        <w:t xml:space="preserve"> is then found</w:t>
      </w:r>
      <w:r w:rsidR="00B239FF">
        <w:t xml:space="preserve">, with the difference in profits yielding the stranding </w:t>
      </w:r>
      <w:r w:rsidR="0063305E">
        <w:t>impact for each company.</w:t>
      </w:r>
      <w:r w:rsidR="00A32C3F">
        <w:t xml:space="preserve"> </w:t>
      </w:r>
      <w:r w:rsidR="00F25466">
        <w:t xml:space="preserve">The use of NPV profits, captures the </w:t>
      </w:r>
      <w:r w:rsidR="00FC0E80">
        <w:t xml:space="preserve">higher value placed on near-term profits, than on </w:t>
      </w:r>
      <w:r w:rsidR="008E3702">
        <w:t>profits i</w:t>
      </w:r>
      <w:r w:rsidR="007A61E4">
        <w:t>n the longer-term;</w:t>
      </w:r>
      <w:r w:rsidR="00095447">
        <w:t xml:space="preserve"> </w:t>
      </w:r>
      <w:r w:rsidR="007A61E4">
        <w:t>a</w:t>
      </w:r>
      <w:r w:rsidR="00E7431B">
        <w:t xml:space="preserve"> discount rate of 7.75% is assumed</w:t>
      </w:r>
      <w:r w:rsidR="007A61E4">
        <w:t xml:space="preserve"> for this purpose.</w:t>
      </w:r>
      <w:r w:rsidR="00C475B0">
        <w:t xml:space="preserve"> This is salient </w:t>
      </w:r>
      <w:r w:rsidR="00384373">
        <w:t xml:space="preserve">as investors may be rational in investing in an energy company with </w:t>
      </w:r>
      <w:r w:rsidR="0028197E">
        <w:t>a high risk of demand destruction</w:t>
      </w:r>
      <w:r w:rsidR="00384373">
        <w:t>, if those risks</w:t>
      </w:r>
      <w:r w:rsidR="007E0EA1">
        <w:t xml:space="preserve"> </w:t>
      </w:r>
      <w:r w:rsidR="00384373">
        <w:t xml:space="preserve">are sufficiently </w:t>
      </w:r>
      <w:r w:rsidR="00987129">
        <w:t xml:space="preserve">far </w:t>
      </w:r>
      <w:r w:rsidR="0028197E">
        <w:t>in the future.</w:t>
      </w:r>
    </w:p>
    <w:p w14:paraId="40D50024" w14:textId="77777777" w:rsidR="00C410BB" w:rsidRDefault="00C410BB" w:rsidP="0001573B">
      <w:pPr>
        <w:rPr>
          <w:b/>
        </w:rPr>
      </w:pPr>
    </w:p>
    <w:p w14:paraId="7F3688E4" w14:textId="77777777" w:rsidR="00062194" w:rsidRDefault="004C1C46" w:rsidP="0001573B">
      <w:pPr>
        <w:rPr>
          <w:b/>
        </w:rPr>
      </w:pPr>
      <w:commentRangeStart w:id="9"/>
      <w:r w:rsidRPr="00C675C7">
        <w:rPr>
          <w:b/>
        </w:rPr>
        <w:t xml:space="preserve">This </w:t>
      </w:r>
      <w:r w:rsidR="00AF3BA7" w:rsidRPr="00C675C7">
        <w:rPr>
          <w:b/>
        </w:rPr>
        <w:t>‘merit order’ based approach to</w:t>
      </w:r>
      <w:r w:rsidR="007B72A5" w:rsidRPr="00C675C7">
        <w:rPr>
          <w:b/>
        </w:rPr>
        <w:t xml:space="preserve"> </w:t>
      </w:r>
      <w:r w:rsidR="008F2F5D">
        <w:rPr>
          <w:b/>
        </w:rPr>
        <w:t xml:space="preserve">fossil fuel demand destruction </w:t>
      </w:r>
      <w:r w:rsidR="00BB31A4" w:rsidRPr="00C675C7">
        <w:rPr>
          <w:b/>
        </w:rPr>
        <w:t xml:space="preserve">produces considerable </w:t>
      </w:r>
      <w:r w:rsidR="00AC0695">
        <w:rPr>
          <w:b/>
        </w:rPr>
        <w:t xml:space="preserve">company-level </w:t>
      </w:r>
      <w:r w:rsidR="00BB31A4" w:rsidRPr="00C675C7">
        <w:rPr>
          <w:b/>
        </w:rPr>
        <w:t xml:space="preserve">heterogeneity in </w:t>
      </w:r>
      <w:r w:rsidR="00C675C7" w:rsidRPr="00C675C7">
        <w:rPr>
          <w:b/>
        </w:rPr>
        <w:t>profit impacts</w:t>
      </w:r>
      <w:r w:rsidR="00062194">
        <w:rPr>
          <w:b/>
        </w:rPr>
        <w:t>:</w:t>
      </w:r>
    </w:p>
    <w:p w14:paraId="48AD5056" w14:textId="6B2ED086" w:rsidR="00025C7B" w:rsidRDefault="00062194" w:rsidP="00062194">
      <w:pPr>
        <w:pStyle w:val="ListParagraph"/>
        <w:numPr>
          <w:ilvl w:val="0"/>
          <w:numId w:val="19"/>
        </w:numPr>
      </w:pPr>
      <w:r>
        <w:t>c</w:t>
      </w:r>
      <w:r w:rsidR="009B5F04">
        <w:t>ompanies with expensive assets</w:t>
      </w:r>
      <w:r w:rsidR="002933B6">
        <w:t>, such as shale oil or oil sands producers, are</w:t>
      </w:r>
      <w:r w:rsidR="00560133">
        <w:t xml:space="preserve"> high up </w:t>
      </w:r>
      <w:r w:rsidR="002933B6">
        <w:t xml:space="preserve">on </w:t>
      </w:r>
      <w:r w:rsidR="00560133">
        <w:t>the merit order</w:t>
      </w:r>
      <w:r w:rsidR="009B5F04">
        <w:t xml:space="preserve"> </w:t>
      </w:r>
      <w:r w:rsidR="002933B6">
        <w:t xml:space="preserve">and </w:t>
      </w:r>
      <w:r w:rsidR="009B5F04">
        <w:t xml:space="preserve">produce very little </w:t>
      </w:r>
      <w:r w:rsidR="0065301D">
        <w:t>oil</w:t>
      </w:r>
      <w:r w:rsidR="002933B6">
        <w:t xml:space="preserve"> under 2DS</w:t>
      </w:r>
      <w:r w:rsidR="0065301D">
        <w:t xml:space="preserve">, </w:t>
      </w:r>
      <w:r w:rsidR="000B053D">
        <w:t xml:space="preserve">experiencing </w:t>
      </w:r>
      <w:r w:rsidR="0065301D">
        <w:t xml:space="preserve">considerable </w:t>
      </w:r>
      <w:r w:rsidR="00273E6C">
        <w:t>asset stranding</w:t>
      </w:r>
      <w:r w:rsidR="007A6CF8">
        <w:t>, and large margin impacts on any oil</w:t>
      </w:r>
      <w:commentRangeEnd w:id="9"/>
      <w:r w:rsidR="00273E6C">
        <w:t xml:space="preserve"> still produced;</w:t>
      </w:r>
      <w:r w:rsidR="002611C2">
        <w:rPr>
          <w:rStyle w:val="CommentReference"/>
        </w:rPr>
        <w:commentReference w:id="9"/>
      </w:r>
    </w:p>
    <w:p w14:paraId="1535ECAD" w14:textId="13CD837A" w:rsidR="00A83A39" w:rsidRDefault="00E201FA" w:rsidP="00062194">
      <w:pPr>
        <w:pStyle w:val="ListParagraph"/>
        <w:numPr>
          <w:ilvl w:val="0"/>
          <w:numId w:val="19"/>
        </w:numPr>
      </w:pPr>
      <w:r>
        <w:t xml:space="preserve">state-owned producers </w:t>
      </w:r>
      <w:r w:rsidR="00A83A39">
        <w:t>with cheap assets,</w:t>
      </w:r>
      <w:r w:rsidR="00F76328">
        <w:t xml:space="preserve"> </w:t>
      </w:r>
      <w:r>
        <w:t xml:space="preserve">may experience </w:t>
      </w:r>
      <w:r w:rsidR="00A83A39">
        <w:t>very little asset stranding, and more modest margin impacts</w:t>
      </w:r>
      <w:r w:rsidR="00BC2668">
        <w:t>;</w:t>
      </w:r>
    </w:p>
    <w:p w14:paraId="22F22084" w14:textId="54545EFF" w:rsidR="00030DCC" w:rsidRDefault="0090747F" w:rsidP="00062194">
      <w:pPr>
        <w:pStyle w:val="ListParagraph"/>
        <w:numPr>
          <w:ilvl w:val="0"/>
          <w:numId w:val="19"/>
        </w:numPr>
      </w:pPr>
      <w:r>
        <w:t>producers with short-lived assets</w:t>
      </w:r>
      <w:r w:rsidR="003C5D4B">
        <w:t xml:space="preserve"> </w:t>
      </w:r>
      <w:r w:rsidR="00CB7EA3">
        <w:t xml:space="preserve">benefit from </w:t>
      </w:r>
      <w:r w:rsidR="00443CCB">
        <w:t>the upward trajectory of assumed climate policy pathways –</w:t>
      </w:r>
      <w:r w:rsidR="00E356BE">
        <w:t xml:space="preserve"> in the </w:t>
      </w:r>
      <w:r w:rsidR="00DC70C0">
        <w:t xml:space="preserve">early years of climate policy action, </w:t>
      </w:r>
      <w:r w:rsidR="00BC01A8">
        <w:t xml:space="preserve">carbon pricing is low, so </w:t>
      </w:r>
      <w:r w:rsidR="00DC70C0">
        <w:t xml:space="preserve">demand destruction </w:t>
      </w:r>
      <w:r w:rsidR="00BC01A8">
        <w:t xml:space="preserve">impacts are </w:t>
      </w:r>
      <w:r w:rsidR="00DC70C0">
        <w:t>modest</w:t>
      </w:r>
      <w:r w:rsidR="00320222">
        <w:t>;</w:t>
      </w:r>
    </w:p>
    <w:p w14:paraId="6C031999" w14:textId="1144B956" w:rsidR="00306B20" w:rsidRPr="00C675C7" w:rsidRDefault="00306B20" w:rsidP="00062194">
      <w:pPr>
        <w:pStyle w:val="ListParagraph"/>
        <w:numPr>
          <w:ilvl w:val="0"/>
          <w:numId w:val="19"/>
        </w:numPr>
      </w:pPr>
      <w:r>
        <w:t>companies with assets that enter production late in the modelling period suffer due to high carbon prices, and large demand destruction impacts.</w:t>
      </w:r>
      <w:r w:rsidR="00B33E92">
        <w:br/>
      </w:r>
    </w:p>
    <w:p w14:paraId="7C787558" w14:textId="4444ACAF" w:rsidR="00BE67E2" w:rsidRDefault="00830274" w:rsidP="00830274">
      <w:pPr>
        <w:pStyle w:val="Heading3"/>
      </w:pPr>
      <w:bookmarkStart w:id="10" w:name="_Ref508361216"/>
      <w:r>
        <w:t>M</w:t>
      </w:r>
      <w:r w:rsidR="00B33E92">
        <w:t xml:space="preserve">odelling </w:t>
      </w:r>
      <w:r>
        <w:t>steps</w:t>
      </w:r>
      <w:bookmarkEnd w:id="10"/>
    </w:p>
    <w:p w14:paraId="316EDA4F" w14:textId="515865BB" w:rsidR="007E3CA8" w:rsidRDefault="007E3CA8" w:rsidP="00C71C96">
      <w:pPr>
        <w:pStyle w:val="ListParagraph"/>
        <w:numPr>
          <w:ilvl w:val="0"/>
          <w:numId w:val="18"/>
        </w:numPr>
      </w:pPr>
      <w:r>
        <w:t xml:space="preserve">Within each scenario, the Imperial TIMES global energy system models produce forecasts of global oil, gas and coal </w:t>
      </w:r>
      <w:r w:rsidR="002F4D72">
        <w:t>demand by year; this is the quantity forecast</w:t>
      </w:r>
      <w:r w:rsidR="005E1971">
        <w:br/>
      </w:r>
    </w:p>
    <w:p w14:paraId="7152777F" w14:textId="1697AC9D" w:rsidR="002F4D72" w:rsidRDefault="00431039" w:rsidP="00C71C96">
      <w:pPr>
        <w:pStyle w:val="ListParagraph"/>
        <w:numPr>
          <w:ilvl w:val="0"/>
          <w:numId w:val="18"/>
        </w:numPr>
      </w:pPr>
      <w:r>
        <w:t xml:space="preserve">Using </w:t>
      </w:r>
      <w:r w:rsidR="0091346B">
        <w:t xml:space="preserve">Wood Mackenzie company-level oil, gas and coal supply curves </w:t>
      </w:r>
      <w:r>
        <w:t>we then:</w:t>
      </w:r>
    </w:p>
    <w:p w14:paraId="2736172F" w14:textId="77777777" w:rsidR="00E824A3" w:rsidRDefault="00431039" w:rsidP="00C71C96">
      <w:pPr>
        <w:pStyle w:val="ListParagraph"/>
        <w:numPr>
          <w:ilvl w:val="1"/>
          <w:numId w:val="18"/>
        </w:numPr>
      </w:pPr>
      <w:r>
        <w:lastRenderedPageBreak/>
        <w:t xml:space="preserve">Produce </w:t>
      </w:r>
      <w:r w:rsidR="00491CC7">
        <w:t>global oil, gas and coal supply curves, for each yea</w:t>
      </w:r>
      <w:r w:rsidR="00654190">
        <w:t>r</w:t>
      </w:r>
    </w:p>
    <w:p w14:paraId="5D74433A" w14:textId="65353CB6" w:rsidR="00654190" w:rsidRDefault="00E824A3" w:rsidP="00C71C96">
      <w:pPr>
        <w:pStyle w:val="ListParagraph"/>
        <w:numPr>
          <w:ilvl w:val="1"/>
          <w:numId w:val="18"/>
        </w:numPr>
      </w:pPr>
      <w:r>
        <w:t xml:space="preserve">The </w:t>
      </w:r>
      <w:r w:rsidR="00654190">
        <w:t>intersection between these curves and the quantity forecast from (1)</w:t>
      </w:r>
      <w:r>
        <w:t xml:space="preserve"> yields the global oil, gas and coal prices, for each scenario, for each year</w:t>
      </w:r>
    </w:p>
    <w:p w14:paraId="4666EDC1" w14:textId="7D433836" w:rsidR="00234DC9" w:rsidRDefault="00234DC9" w:rsidP="00C71C96">
      <w:pPr>
        <w:pStyle w:val="ListParagraph"/>
        <w:numPr>
          <w:ilvl w:val="1"/>
          <w:numId w:val="18"/>
        </w:numPr>
      </w:pPr>
      <w:r>
        <w:t>The intersection between price and each company’s oil, gas and coal supply curve gives production for each company, for each scenario, for each year</w:t>
      </w:r>
      <w:r w:rsidR="005E1971">
        <w:br/>
      </w:r>
    </w:p>
    <w:p w14:paraId="21B84C32" w14:textId="64795C80" w:rsidR="00CE1567" w:rsidRDefault="00CE1567" w:rsidP="00CE1567">
      <w:pPr>
        <w:pStyle w:val="ListParagraph"/>
        <w:numPr>
          <w:ilvl w:val="0"/>
          <w:numId w:val="18"/>
        </w:numPr>
      </w:pPr>
      <w:r>
        <w:t xml:space="preserve">Compute </w:t>
      </w:r>
      <w:r w:rsidR="00B0380D">
        <w:t xml:space="preserve">NPV profit </w:t>
      </w:r>
      <w:r w:rsidR="00293751">
        <w:t xml:space="preserve">for oil, gas and coal, </w:t>
      </w:r>
      <w:r w:rsidR="00B0380D">
        <w:t>for each scenario, for each energy company</w:t>
      </w:r>
      <w:r w:rsidR="005E1971">
        <w:br/>
      </w:r>
    </w:p>
    <w:p w14:paraId="74D71868" w14:textId="41B75F81" w:rsidR="000A7B79" w:rsidRDefault="000A7B79" w:rsidP="00CE1567">
      <w:pPr>
        <w:pStyle w:val="ListParagraph"/>
        <w:numPr>
          <w:ilvl w:val="0"/>
          <w:numId w:val="18"/>
        </w:numPr>
      </w:pPr>
      <w:r>
        <w:t>The ratio of NPV profit for each scenario to NPV profit under business as usual, gives the % profit loss due to asset stranding for each oil and gas company</w:t>
      </w:r>
    </w:p>
    <w:p w14:paraId="6B425412" w14:textId="62DD4D0C" w:rsidR="00D03A0F" w:rsidRPr="007E1EF4" w:rsidRDefault="0090629C" w:rsidP="00890898">
      <w:pPr>
        <w:pStyle w:val="ListParagraph"/>
        <w:numPr>
          <w:ilvl w:val="1"/>
          <w:numId w:val="18"/>
        </w:numPr>
      </w:pPr>
      <w:commentRangeStart w:id="11"/>
      <w:r>
        <w:t xml:space="preserve">This can be decomposed into quantity and margin impacts; that is, losses on inframarginal units which are no longer produced, and </w:t>
      </w:r>
      <w:r w:rsidR="00BB09AD">
        <w:t>losses on units which are still produced, but less profitable due to demand contraction</w:t>
      </w:r>
      <w:commentRangeEnd w:id="11"/>
      <w:r w:rsidR="007A5165">
        <w:rPr>
          <w:rStyle w:val="CommentReference"/>
        </w:rPr>
        <w:commentReference w:id="11"/>
      </w:r>
    </w:p>
    <w:sectPr w:rsidR="00D03A0F" w:rsidRPr="007E1EF4" w:rsidSect="002C2240">
      <w:headerReference w:type="default" r:id="rId18"/>
      <w:footerReference w:type="default" r:id="rId19"/>
      <w:headerReference w:type="first" r:id="rId20"/>
      <w:footerReference w:type="first" r:id="rId21"/>
      <w:pgSz w:w="11906" w:h="16838"/>
      <w:pgMar w:top="1440" w:right="1440" w:bottom="1440" w:left="1440" w:header="1077" w:footer="34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yamal Patel" w:date="2018-03-02T15:33:00Z" w:initials="SP">
    <w:p w14:paraId="02BE4A5D" w14:textId="61C5E04E" w:rsidR="00C20CF6" w:rsidRDefault="00B03B25">
      <w:pPr>
        <w:pStyle w:val="CommentText"/>
      </w:pPr>
      <w:r>
        <w:rPr>
          <w:rStyle w:val="CommentReference"/>
        </w:rPr>
        <w:annotationRef/>
      </w:r>
      <w:r>
        <w:t>See Stranded assets and renewables, IRENA 2017 for a brief intro to the subject, and for an extended reading list (p.1</w:t>
      </w:r>
      <w:r w:rsidR="00C20CF6">
        <w:t>5</w:t>
      </w:r>
      <w:r>
        <w:t>)</w:t>
      </w:r>
      <w:r>
        <w:br/>
      </w:r>
      <w:hyperlink r:id="rId1" w:history="1">
        <w:r w:rsidR="00C20CF6" w:rsidRPr="00633DDD">
          <w:rPr>
            <w:rStyle w:val="Hyperlink"/>
          </w:rPr>
          <w:t>https://vivideconomics.sharepoint.com/:b:/s/projects/171211HSB/EfQIiMufufFKokDuydhxq38BGML_f2NxlSZ6mdYtmAh7vA?e=NGBSFp</w:t>
        </w:r>
      </w:hyperlink>
    </w:p>
  </w:comment>
  <w:comment w:id="2" w:author="Shyamal Patel" w:date="2018-03-05T09:56:00Z" w:initials="SP">
    <w:p w14:paraId="5741F83F" w14:textId="5C5030FF" w:rsidR="002A2690" w:rsidRDefault="002A2690">
      <w:pPr>
        <w:pStyle w:val="CommentText"/>
      </w:pPr>
      <w:r>
        <w:rPr>
          <w:rStyle w:val="CommentReference"/>
        </w:rPr>
        <w:annotationRef/>
      </w:r>
      <w:r>
        <w:t>Do we need to mention potential asset stranding in other classes that we have not considered here?</w:t>
      </w:r>
      <w:r>
        <w:br/>
      </w:r>
    </w:p>
    <w:p w14:paraId="56E75AD8" w14:textId="77777777" w:rsidR="00B04170" w:rsidRDefault="00B04170">
      <w:pPr>
        <w:pStyle w:val="CommentText"/>
      </w:pPr>
      <w:r>
        <w:t>More generally, should we call this oil and gas demand destruction rather than asset stranding?</w:t>
      </w:r>
    </w:p>
    <w:p w14:paraId="5F3B7263" w14:textId="77777777" w:rsidR="00B04170" w:rsidRDefault="00B04170">
      <w:pPr>
        <w:pStyle w:val="CommentText"/>
      </w:pPr>
    </w:p>
    <w:p w14:paraId="0B748DAB" w14:textId="0494E5AB" w:rsidR="00B04170" w:rsidRDefault="00B04170">
      <w:pPr>
        <w:pStyle w:val="CommentText"/>
      </w:pPr>
      <w:r>
        <w:t>Our methodology is based on within-year profit maximising decisions, rather than long-term investment trends.</w:t>
      </w:r>
    </w:p>
  </w:comment>
  <w:comment w:id="3" w:author="Shyamal Patel" w:date="2018-03-05T10:15:00Z" w:initials="SP">
    <w:p w14:paraId="22C82DB8" w14:textId="0752067A" w:rsidR="00E400AA" w:rsidRDefault="00E400AA">
      <w:pPr>
        <w:pStyle w:val="CommentText"/>
      </w:pPr>
      <w:r>
        <w:rPr>
          <w:rStyle w:val="CommentReference"/>
        </w:rPr>
        <w:annotationRef/>
      </w:r>
      <w:r>
        <w:t>I.e. scope 1 + scope 2</w:t>
      </w:r>
    </w:p>
  </w:comment>
  <w:comment w:id="6" w:author="Shyamal Patel" w:date="2018-03-05T14:04:00Z" w:initials="SP">
    <w:p w14:paraId="00E0D067" w14:textId="77777777" w:rsidR="00BC45D0" w:rsidRDefault="00BC45D0" w:rsidP="00BC45D0">
      <w:pPr>
        <w:pStyle w:val="CommentText"/>
      </w:pPr>
      <w:r>
        <w:rPr>
          <w:rStyle w:val="CommentReference"/>
        </w:rPr>
        <w:annotationRef/>
      </w:r>
      <w:r>
        <w:t xml:space="preserve">Alternative approach would be to calculate changes in fossil fuel prices based on pure carbon cost, shift up the oil supply curve, and find the new </w:t>
      </w:r>
      <w:proofErr w:type="spellStart"/>
      <w:r>
        <w:t>eqm</w:t>
      </w:r>
      <w:proofErr w:type="spellEnd"/>
      <w:r>
        <w:t>. based on PED estimates</w:t>
      </w:r>
    </w:p>
  </w:comment>
  <w:comment w:id="7" w:author="Shyamal Patel" w:date="2018-03-05T14:18:00Z" w:initials="SP">
    <w:p w14:paraId="4BA7B8AA" w14:textId="77777777" w:rsidR="00BC45D0" w:rsidRDefault="00BC45D0" w:rsidP="00BC45D0">
      <w:pPr>
        <w:pStyle w:val="CommentText"/>
      </w:pPr>
      <w:r>
        <w:rPr>
          <w:rStyle w:val="CommentReference"/>
        </w:rPr>
        <w:annotationRef/>
      </w:r>
      <w:r>
        <w:t>Note that there is an E&amp;P industry cost based approach for the oil and gas services industry.</w:t>
      </w:r>
    </w:p>
    <w:p w14:paraId="7C6422E7" w14:textId="77777777" w:rsidR="00BC45D0" w:rsidRDefault="00BC45D0" w:rsidP="00BC45D0">
      <w:pPr>
        <w:pStyle w:val="CommentText"/>
      </w:pPr>
      <w:r>
        <w:t>This should be in the appendix to the final report.</w:t>
      </w:r>
    </w:p>
  </w:comment>
  <w:comment w:id="9" w:author="Shyamal Patel" w:date="2018-03-05T14:53:00Z" w:initials="SP">
    <w:p w14:paraId="3FBB4632" w14:textId="77777777" w:rsidR="002611C2" w:rsidRDefault="002611C2">
      <w:pPr>
        <w:pStyle w:val="CommentText"/>
      </w:pPr>
      <w:r>
        <w:rPr>
          <w:rStyle w:val="CommentReference"/>
        </w:rPr>
        <w:annotationRef/>
      </w:r>
      <w:r>
        <w:t>Note effect of climate policy scenarios on profit impacts, in particular:</w:t>
      </w:r>
    </w:p>
    <w:p w14:paraId="01280B22" w14:textId="25A3DC53" w:rsidR="002611C2" w:rsidRDefault="006043DF" w:rsidP="002611C2">
      <w:pPr>
        <w:pStyle w:val="CommentText"/>
        <w:numPr>
          <w:ilvl w:val="0"/>
          <w:numId w:val="20"/>
        </w:numPr>
      </w:pPr>
      <w:r>
        <w:t xml:space="preserve"> TIMING:</w:t>
      </w:r>
      <w:r w:rsidR="002611C2">
        <w:t xml:space="preserve"> 2DS central vs. delayed climate action</w:t>
      </w:r>
    </w:p>
    <w:p w14:paraId="156524A3" w14:textId="3C0C867A" w:rsidR="002611C2" w:rsidRDefault="006043DF" w:rsidP="002611C2">
      <w:pPr>
        <w:pStyle w:val="CommentText"/>
        <w:numPr>
          <w:ilvl w:val="0"/>
          <w:numId w:val="20"/>
        </w:numPr>
      </w:pPr>
      <w:r>
        <w:t>TECHNOLOGY:</w:t>
      </w:r>
      <w:r w:rsidR="002611C2">
        <w:t xml:space="preserve"> 2DS central vs. 2DS high CCS penetration</w:t>
      </w:r>
    </w:p>
  </w:comment>
  <w:comment w:id="11" w:author="Shyamal Patel" w:date="2018-03-02T15:27:00Z" w:initials="SP">
    <w:p w14:paraId="5596F082" w14:textId="2F583F4A" w:rsidR="007A5165" w:rsidRDefault="000C519E">
      <w:pPr>
        <w:pStyle w:val="CommentText"/>
      </w:pPr>
      <w:r>
        <w:t xml:space="preserve">2609GMO </w:t>
      </w:r>
      <w:r w:rsidR="007A5165">
        <w:rPr>
          <w:rStyle w:val="CommentReference"/>
        </w:rPr>
        <w:annotationRef/>
      </w:r>
      <w:r>
        <w:t>a</w:t>
      </w:r>
      <w:r w:rsidR="007A5165">
        <w:t>nalysis shows that the majority of losses are due to the margin impact, rather than the quantity impact.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BE4A5D" w15:done="0"/>
  <w15:commentEx w15:paraId="0B748DAB" w15:done="0"/>
  <w15:commentEx w15:paraId="22C82DB8" w15:done="0"/>
  <w15:commentEx w15:paraId="00E0D067" w15:done="0"/>
  <w15:commentEx w15:paraId="7C6422E7" w15:done="0"/>
  <w15:commentEx w15:paraId="156524A3" w15:done="0"/>
  <w15:commentEx w15:paraId="5596F0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BE4A5D" w16cid:durableId="1E43ED37"/>
  <w16cid:commentId w16cid:paraId="0B748DAB" w16cid:durableId="1E4792B4"/>
  <w16cid:commentId w16cid:paraId="22C82DB8" w16cid:durableId="1E47974B"/>
  <w16cid:commentId w16cid:paraId="00E0D067" w16cid:durableId="1E47CCE6"/>
  <w16cid:commentId w16cid:paraId="7C6422E7" w16cid:durableId="1E47D031"/>
  <w16cid:commentId w16cid:paraId="156524A3" w16cid:durableId="1E47D859"/>
  <w16cid:commentId w16cid:paraId="5596F082" w16cid:durableId="1E43E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24E65" w14:textId="77777777" w:rsidR="00524097" w:rsidRDefault="00524097" w:rsidP="00AB14FC">
      <w:r>
        <w:separator/>
      </w:r>
    </w:p>
  </w:endnote>
  <w:endnote w:type="continuationSeparator" w:id="0">
    <w:p w14:paraId="479E2BA3" w14:textId="77777777" w:rsidR="00524097" w:rsidRDefault="00524097" w:rsidP="00AB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95FEC" w14:textId="34C9F438" w:rsidR="003B484E" w:rsidRPr="00AB14FC" w:rsidRDefault="00DD3C0B" w:rsidP="00AB14FC">
    <w:pPr>
      <w:pStyle w:val="Footer"/>
      <w:jc w:val="center"/>
      <w:rPr>
        <w:rFonts w:ascii="Palatino Linotype" w:hAnsi="Palatino Linotype"/>
        <w:sz w:val="18"/>
        <w:szCs w:val="18"/>
      </w:rPr>
    </w:pPr>
    <w:sdt>
      <w:sdtPr>
        <w:id w:val="17136464"/>
        <w:docPartObj>
          <w:docPartGallery w:val="Page Numbers (Bottom of Page)"/>
          <w:docPartUnique/>
        </w:docPartObj>
      </w:sdtPr>
      <w:sdtEndPr>
        <w:rPr>
          <w:rFonts w:ascii="Palatino Linotype" w:hAnsi="Palatino Linotype"/>
          <w:sz w:val="18"/>
          <w:szCs w:val="18"/>
        </w:rPr>
      </w:sdtEndPr>
      <w:sdtContent>
        <w:r w:rsidR="003B484E" w:rsidRPr="00AB14FC">
          <w:rPr>
            <w:rFonts w:ascii="Palatino Linotype" w:hAnsi="Palatino Linotype"/>
            <w:sz w:val="18"/>
            <w:szCs w:val="18"/>
          </w:rPr>
          <w:fldChar w:fldCharType="begin"/>
        </w:r>
        <w:r w:rsidR="003B484E" w:rsidRPr="00AB14FC">
          <w:rPr>
            <w:rFonts w:ascii="Palatino Linotype" w:hAnsi="Palatino Linotype"/>
            <w:sz w:val="18"/>
            <w:szCs w:val="18"/>
          </w:rPr>
          <w:instrText xml:space="preserve"> PAGE   \* MERGEFORMAT </w:instrText>
        </w:r>
        <w:r w:rsidR="003B484E" w:rsidRPr="00AB14FC">
          <w:rPr>
            <w:rFonts w:ascii="Palatino Linotype" w:hAnsi="Palatino Linotype"/>
            <w:sz w:val="18"/>
            <w:szCs w:val="18"/>
          </w:rPr>
          <w:fldChar w:fldCharType="separate"/>
        </w:r>
        <w:r w:rsidR="00147E41">
          <w:rPr>
            <w:rFonts w:ascii="Palatino Linotype" w:hAnsi="Palatino Linotype"/>
            <w:noProof/>
            <w:sz w:val="18"/>
            <w:szCs w:val="18"/>
          </w:rPr>
          <w:t>3</w:t>
        </w:r>
        <w:r w:rsidR="003B484E" w:rsidRPr="00AB14FC">
          <w:rPr>
            <w:rFonts w:ascii="Palatino Linotype" w:hAnsi="Palatino Linotype"/>
            <w:sz w:val="18"/>
            <w:szCs w:val="18"/>
          </w:rPr>
          <w:fldChar w:fldCharType="end"/>
        </w:r>
      </w:sdtContent>
    </w:sdt>
  </w:p>
  <w:p w14:paraId="5B71BE52" w14:textId="77777777" w:rsidR="003B484E" w:rsidRDefault="003B4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CB46A" w14:textId="43BF8D7C" w:rsidR="003B484E" w:rsidRDefault="00F40548" w:rsidP="00CA54EA">
    <w:pPr>
      <w:pStyle w:val="Footer"/>
      <w:jc w:val="right"/>
    </w:pPr>
    <w:r>
      <w:t>Shyamal Patel</w:t>
    </w:r>
  </w:p>
  <w:p w14:paraId="70679E9E" w14:textId="3755B6DB" w:rsidR="003B484E" w:rsidRDefault="00F40548" w:rsidP="00CA54EA">
    <w:pPr>
      <w:pStyle w:val="Footer"/>
      <w:jc w:val="right"/>
    </w:pPr>
    <w:r>
      <w:t>05/03/2018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2A0D2" w14:textId="77777777" w:rsidR="00524097" w:rsidRDefault="00524097" w:rsidP="00AB14FC">
      <w:r>
        <w:separator/>
      </w:r>
    </w:p>
  </w:footnote>
  <w:footnote w:type="continuationSeparator" w:id="0">
    <w:p w14:paraId="1460CC2F" w14:textId="77777777" w:rsidR="00524097" w:rsidRDefault="00524097" w:rsidP="00AB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E4F43" w14:textId="77777777" w:rsidR="003B484E" w:rsidRDefault="003B484E" w:rsidP="00696387">
    <w:pPr>
      <w:pStyle w:val="Header"/>
      <w:spacing w:line="240" w:lineRule="auto"/>
    </w:pPr>
    <w:r w:rsidRPr="00AB14FC">
      <w:drawing>
        <wp:inline distT="0" distB="0" distL="0" distR="0" wp14:anchorId="69DD4F59" wp14:editId="6A3A0290">
          <wp:extent cx="2019300" cy="200025"/>
          <wp:effectExtent l="19050" t="0" r="0" b="0"/>
          <wp:docPr id="1" name="Picture 1" descr="C:\Users\VIVIDA~1\AppData\AppData\Local\Microsoft\Windows\Temporary Internet Files\Content.Outlook\D1INUWPC\January\Macintosh HD:Users:charlottedewar:Desktop:people brands work:Robin's project:artwork:logo:viv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DA~1\AppData\AppData\Local\Microsoft\Windows\Temporary Internet Files\Content.Outlook\D1INUWPC\January\Macintosh HD:Users:charlottedewar:Desktop:people brands work:Robin's project:artwork:logo:vivid_logo.gif"/>
                  <pic:cNvPicPr>
                    <a:picLocks noChangeAspect="1" noChangeArrowheads="1"/>
                  </pic:cNvPicPr>
                </pic:nvPicPr>
                <pic:blipFill>
                  <a:blip r:embed="rId1"/>
                  <a:srcRect/>
                  <a:stretch>
                    <a:fillRect/>
                  </a:stretch>
                </pic:blipFill>
                <pic:spPr bwMode="auto">
                  <a:xfrm>
                    <a:off x="0" y="0"/>
                    <a:ext cx="2019300" cy="200025"/>
                  </a:xfrm>
                  <a:prstGeom prst="rect">
                    <a:avLst/>
                  </a:prstGeom>
                  <a:noFill/>
                  <a:ln w="9525">
                    <a:noFill/>
                    <a:miter lim="800000"/>
                    <a:headEnd/>
                    <a:tailEnd/>
                  </a:ln>
                </pic:spPr>
              </pic:pic>
            </a:graphicData>
          </a:graphic>
        </wp:inline>
      </w:drawing>
    </w:r>
  </w:p>
  <w:p w14:paraId="69D38AE3" w14:textId="77777777" w:rsidR="003B484E" w:rsidRDefault="003B4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3FD3" w14:textId="77777777" w:rsidR="003B484E" w:rsidRDefault="003B484E" w:rsidP="00352AB1">
    <w:pPr>
      <w:pStyle w:val="Header"/>
      <w:spacing w:line="240" w:lineRule="auto"/>
    </w:pPr>
    <w:r>
      <w:drawing>
        <wp:anchor distT="0" distB="0" distL="114300" distR="114300" simplePos="0" relativeHeight="251658240" behindDoc="0" locked="0" layoutInCell="1" allowOverlap="1" wp14:anchorId="4E814A78" wp14:editId="5112B69C">
          <wp:simplePos x="0" y="0"/>
          <wp:positionH relativeFrom="margin">
            <wp:posOffset>4152900</wp:posOffset>
          </wp:positionH>
          <wp:positionV relativeFrom="margin">
            <wp:posOffset>-395605</wp:posOffset>
          </wp:positionV>
          <wp:extent cx="2019300" cy="200025"/>
          <wp:effectExtent l="19050" t="0" r="0" b="0"/>
          <wp:wrapSquare wrapText="bothSides"/>
          <wp:docPr id="5" name="Picture 1" descr="C:\Users\VIVIDA~1\AppData\AppData\Local\Microsoft\Windows\Temporary Internet Files\Content.Outlook\D1INUWPC\January\Macintosh HD:Users:charlottedewar:Desktop:people brands work:Robin's project:artwork:logo:viv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IDA~1\AppData\AppData\Local\Microsoft\Windows\Temporary Internet Files\Content.Outlook\D1INUWPC\January\Macintosh HD:Users:charlottedewar:Desktop:people brands work:Robin's project:artwork:logo:vivid_logo.gif"/>
                  <pic:cNvPicPr>
                    <a:picLocks noChangeAspect="1" noChangeArrowheads="1"/>
                  </pic:cNvPicPr>
                </pic:nvPicPr>
                <pic:blipFill>
                  <a:blip r:embed="rId1"/>
                  <a:srcRect/>
                  <a:stretch>
                    <a:fillRect/>
                  </a:stretch>
                </pic:blipFill>
                <pic:spPr bwMode="auto">
                  <a:xfrm>
                    <a:off x="0" y="0"/>
                    <a:ext cx="2019300" cy="200025"/>
                  </a:xfrm>
                  <a:prstGeom prst="rect">
                    <a:avLst/>
                  </a:prstGeom>
                  <a:noFill/>
                  <a:ln w="9525">
                    <a:noFill/>
                    <a:miter lim="800000"/>
                    <a:headEnd/>
                    <a:tailEnd/>
                  </a:ln>
                </pic:spPr>
              </pic:pic>
            </a:graphicData>
          </a:graphic>
        </wp:anchor>
      </w:drawing>
    </w:r>
  </w:p>
  <w:p w14:paraId="4939629C" w14:textId="77777777" w:rsidR="003B484E" w:rsidRDefault="003B484E" w:rsidP="007E1EF4">
    <w:pPr>
      <w:pStyle w:val="Heade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2F5"/>
    <w:multiLevelType w:val="hybridMultilevel"/>
    <w:tmpl w:val="C92C42BE"/>
    <w:lvl w:ilvl="0" w:tplc="739EDDD4">
      <w:start w:val="1"/>
      <w:numFmt w:val="decimal"/>
      <w:pStyle w:val="Charttitle"/>
      <w:lvlText w:val="Figure %1."/>
      <w:lvlJc w:val="left"/>
      <w:pPr>
        <w:ind w:left="360" w:hanging="360"/>
      </w:pPr>
      <w:rPr>
        <w:rFonts w:ascii="Cambria" w:hAnsi="Cambria" w:hint="default"/>
        <w:b w:val="0"/>
        <w:i/>
        <w:caps w:val="0"/>
        <w:strike w:val="0"/>
        <w:dstrike w:val="0"/>
        <w:vanish w:val="0"/>
        <w:color w:val="000000" w:themeColor="text1"/>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54A5F"/>
    <w:multiLevelType w:val="hybridMultilevel"/>
    <w:tmpl w:val="CEFC14BA"/>
    <w:lvl w:ilvl="0" w:tplc="81588DA0">
      <w:start w:val="1"/>
      <w:numFmt w:val="decimal"/>
      <w:pStyle w:val="Boxtitle"/>
      <w:lvlText w:val="Box %1."/>
      <w:lvlJc w:val="left"/>
      <w:pPr>
        <w:ind w:left="360" w:hanging="360"/>
      </w:pPr>
      <w:rPr>
        <w:rFonts w:ascii="Cambria" w:hAnsi="Cambria" w:hint="default"/>
        <w:b w:val="0"/>
        <w:i/>
        <w:caps w:val="0"/>
        <w:strike w:val="0"/>
        <w:dstrike w:val="0"/>
        <w:vanish w:val="0"/>
        <w:color w:val="000000" w:themeColor="text1"/>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BD1CCF"/>
    <w:multiLevelType w:val="hybridMultilevel"/>
    <w:tmpl w:val="B0E82B5A"/>
    <w:lvl w:ilvl="0" w:tplc="BE6A924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278"/>
    <w:multiLevelType w:val="multilevel"/>
    <w:tmpl w:val="FA7061F0"/>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355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A6F0B25"/>
    <w:multiLevelType w:val="hybridMultilevel"/>
    <w:tmpl w:val="ABCE7DF8"/>
    <w:lvl w:ilvl="0" w:tplc="AA1217A2">
      <w:numFmt w:val="bullet"/>
      <w:pStyle w:val="Dashedbullets"/>
      <w:lvlText w:val="—"/>
      <w:lvlJc w:val="left"/>
      <w:pPr>
        <w:ind w:left="360" w:hanging="360"/>
      </w:pPr>
      <w:rPr>
        <w:rFonts w:ascii="Arial" w:eastAsiaTheme="minorHAnsi"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BA2B25"/>
    <w:multiLevelType w:val="hybridMultilevel"/>
    <w:tmpl w:val="C074C6BC"/>
    <w:lvl w:ilvl="0" w:tplc="5306719A">
      <w:start w:val="1"/>
      <w:numFmt w:val="decimal"/>
      <w:pStyle w:val="Tabletitle"/>
      <w:lvlText w:val="Table %1."/>
      <w:lvlJc w:val="left"/>
      <w:pPr>
        <w:ind w:left="360" w:hanging="360"/>
      </w:pPr>
      <w:rPr>
        <w:rFonts w:ascii="Cambria" w:hAnsi="Cambria" w:hint="default"/>
        <w:b w:val="0"/>
        <w:bCs w:val="0"/>
        <w:i/>
        <w:iCs w:val="0"/>
        <w:caps w:val="0"/>
        <w:smallCaps w:val="0"/>
        <w:strike w:val="0"/>
        <w:dstrike w:val="0"/>
        <w:vanish w:val="0"/>
        <w:color w:val="000000" w:themeColor="text1"/>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D13A87"/>
    <w:multiLevelType w:val="hybridMultilevel"/>
    <w:tmpl w:val="4CCE0F9C"/>
    <w:lvl w:ilvl="0" w:tplc="008A25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58792C"/>
    <w:multiLevelType w:val="hybridMultilevel"/>
    <w:tmpl w:val="587CF7E4"/>
    <w:lvl w:ilvl="0" w:tplc="89005118">
      <w:start w:val="2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BA2E6F"/>
    <w:multiLevelType w:val="hybridMultilevel"/>
    <w:tmpl w:val="8166C8BC"/>
    <w:lvl w:ilvl="0" w:tplc="B5DA1E0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407865"/>
    <w:multiLevelType w:val="hybridMultilevel"/>
    <w:tmpl w:val="212CD97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4"/>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4"/>
  </w:num>
  <w:num w:numId="15">
    <w:abstractNumId w:val="5"/>
  </w:num>
  <w:num w:numId="16">
    <w:abstractNumId w:val="3"/>
  </w:num>
  <w:num w:numId="17">
    <w:abstractNumId w:val="9"/>
  </w:num>
  <w:num w:numId="18">
    <w:abstractNumId w:val="2"/>
  </w:num>
  <w:num w:numId="19">
    <w:abstractNumId w:val="7"/>
  </w:num>
  <w:num w:numId="20">
    <w:abstractNumId w:val="8"/>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yamal Patel">
    <w15:presenceInfo w15:providerId="None" w15:userId="Shyamal Pa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97"/>
    <w:rsid w:val="000002EE"/>
    <w:rsid w:val="00003A1B"/>
    <w:rsid w:val="00012CCA"/>
    <w:rsid w:val="0001573B"/>
    <w:rsid w:val="00024558"/>
    <w:rsid w:val="00025C7B"/>
    <w:rsid w:val="00030DCC"/>
    <w:rsid w:val="00032751"/>
    <w:rsid w:val="000328DC"/>
    <w:rsid w:val="00055179"/>
    <w:rsid w:val="00055978"/>
    <w:rsid w:val="00062194"/>
    <w:rsid w:val="00087735"/>
    <w:rsid w:val="00090E25"/>
    <w:rsid w:val="0009253E"/>
    <w:rsid w:val="00093C94"/>
    <w:rsid w:val="00095447"/>
    <w:rsid w:val="000A2704"/>
    <w:rsid w:val="000A7B79"/>
    <w:rsid w:val="000B053D"/>
    <w:rsid w:val="000B5433"/>
    <w:rsid w:val="000B6BB7"/>
    <w:rsid w:val="000C519E"/>
    <w:rsid w:val="000D4CDA"/>
    <w:rsid w:val="000E026B"/>
    <w:rsid w:val="000E47C0"/>
    <w:rsid w:val="00126DD9"/>
    <w:rsid w:val="00130404"/>
    <w:rsid w:val="00134AB3"/>
    <w:rsid w:val="00141E08"/>
    <w:rsid w:val="00147E41"/>
    <w:rsid w:val="00163F4E"/>
    <w:rsid w:val="00170726"/>
    <w:rsid w:val="00172171"/>
    <w:rsid w:val="001919E0"/>
    <w:rsid w:val="001961FD"/>
    <w:rsid w:val="001A7A94"/>
    <w:rsid w:val="001A7F7D"/>
    <w:rsid w:val="001B725A"/>
    <w:rsid w:val="001C47C8"/>
    <w:rsid w:val="001C5E16"/>
    <w:rsid w:val="001D3D8D"/>
    <w:rsid w:val="001F02EA"/>
    <w:rsid w:val="001F5EA1"/>
    <w:rsid w:val="001F71E8"/>
    <w:rsid w:val="0020142B"/>
    <w:rsid w:val="0021038A"/>
    <w:rsid w:val="00226A3D"/>
    <w:rsid w:val="00227DB2"/>
    <w:rsid w:val="00230CA3"/>
    <w:rsid w:val="00234DC9"/>
    <w:rsid w:val="00235792"/>
    <w:rsid w:val="002438AB"/>
    <w:rsid w:val="00256096"/>
    <w:rsid w:val="00260DA6"/>
    <w:rsid w:val="002611C2"/>
    <w:rsid w:val="00264539"/>
    <w:rsid w:val="00266B76"/>
    <w:rsid w:val="00266CC1"/>
    <w:rsid w:val="00273E6C"/>
    <w:rsid w:val="002779FE"/>
    <w:rsid w:val="00280B59"/>
    <w:rsid w:val="0028197E"/>
    <w:rsid w:val="0029102C"/>
    <w:rsid w:val="002911E2"/>
    <w:rsid w:val="002921FD"/>
    <w:rsid w:val="00292EF9"/>
    <w:rsid w:val="002933B6"/>
    <w:rsid w:val="00293751"/>
    <w:rsid w:val="002939C2"/>
    <w:rsid w:val="002A1274"/>
    <w:rsid w:val="002A2690"/>
    <w:rsid w:val="002A46EB"/>
    <w:rsid w:val="002A47D9"/>
    <w:rsid w:val="002A7556"/>
    <w:rsid w:val="002C042D"/>
    <w:rsid w:val="002C1EB5"/>
    <w:rsid w:val="002C2240"/>
    <w:rsid w:val="002C796C"/>
    <w:rsid w:val="002D3BB5"/>
    <w:rsid w:val="002D61DB"/>
    <w:rsid w:val="002F00FF"/>
    <w:rsid w:val="002F0FA2"/>
    <w:rsid w:val="002F4D72"/>
    <w:rsid w:val="0030436C"/>
    <w:rsid w:val="00306B20"/>
    <w:rsid w:val="00313AF5"/>
    <w:rsid w:val="00317663"/>
    <w:rsid w:val="00320222"/>
    <w:rsid w:val="00326956"/>
    <w:rsid w:val="0033148D"/>
    <w:rsid w:val="00352AB1"/>
    <w:rsid w:val="00367653"/>
    <w:rsid w:val="00382E77"/>
    <w:rsid w:val="00384373"/>
    <w:rsid w:val="00392624"/>
    <w:rsid w:val="003A3ED5"/>
    <w:rsid w:val="003A5CE4"/>
    <w:rsid w:val="003A79FC"/>
    <w:rsid w:val="003B06B2"/>
    <w:rsid w:val="003B408F"/>
    <w:rsid w:val="003B484E"/>
    <w:rsid w:val="003B613E"/>
    <w:rsid w:val="003C133D"/>
    <w:rsid w:val="003C5D4B"/>
    <w:rsid w:val="003D3C90"/>
    <w:rsid w:val="003D5172"/>
    <w:rsid w:val="003D51CF"/>
    <w:rsid w:val="003D7167"/>
    <w:rsid w:val="003E5096"/>
    <w:rsid w:val="003F02D7"/>
    <w:rsid w:val="003F06BF"/>
    <w:rsid w:val="003F246B"/>
    <w:rsid w:val="004023A5"/>
    <w:rsid w:val="00405C64"/>
    <w:rsid w:val="00407CE5"/>
    <w:rsid w:val="00410A1F"/>
    <w:rsid w:val="00411897"/>
    <w:rsid w:val="0041334B"/>
    <w:rsid w:val="00422D8A"/>
    <w:rsid w:val="00425B51"/>
    <w:rsid w:val="00427390"/>
    <w:rsid w:val="00431039"/>
    <w:rsid w:val="0043682D"/>
    <w:rsid w:val="00443CCB"/>
    <w:rsid w:val="00455458"/>
    <w:rsid w:val="004626BC"/>
    <w:rsid w:val="00463FD4"/>
    <w:rsid w:val="00467D3A"/>
    <w:rsid w:val="0047068C"/>
    <w:rsid w:val="00472C55"/>
    <w:rsid w:val="0048190B"/>
    <w:rsid w:val="00483969"/>
    <w:rsid w:val="0048602C"/>
    <w:rsid w:val="00487F22"/>
    <w:rsid w:val="0049096F"/>
    <w:rsid w:val="00491CC7"/>
    <w:rsid w:val="00492FCF"/>
    <w:rsid w:val="00495A53"/>
    <w:rsid w:val="00497D85"/>
    <w:rsid w:val="004A1AB7"/>
    <w:rsid w:val="004A5296"/>
    <w:rsid w:val="004A6154"/>
    <w:rsid w:val="004B294C"/>
    <w:rsid w:val="004B3FF1"/>
    <w:rsid w:val="004B4544"/>
    <w:rsid w:val="004B63F4"/>
    <w:rsid w:val="004C0B60"/>
    <w:rsid w:val="004C1C46"/>
    <w:rsid w:val="004D2D47"/>
    <w:rsid w:val="004D7C10"/>
    <w:rsid w:val="004F6C82"/>
    <w:rsid w:val="005069B4"/>
    <w:rsid w:val="00506D7B"/>
    <w:rsid w:val="005109E4"/>
    <w:rsid w:val="00514FEB"/>
    <w:rsid w:val="00515D7F"/>
    <w:rsid w:val="00522BA6"/>
    <w:rsid w:val="00523CA1"/>
    <w:rsid w:val="00524097"/>
    <w:rsid w:val="005377CA"/>
    <w:rsid w:val="00550C70"/>
    <w:rsid w:val="00554598"/>
    <w:rsid w:val="00560133"/>
    <w:rsid w:val="00563A4D"/>
    <w:rsid w:val="00570D3C"/>
    <w:rsid w:val="005801DB"/>
    <w:rsid w:val="0058491C"/>
    <w:rsid w:val="005A5C25"/>
    <w:rsid w:val="005B0CB3"/>
    <w:rsid w:val="005B2F8B"/>
    <w:rsid w:val="005B47F7"/>
    <w:rsid w:val="005B4E1C"/>
    <w:rsid w:val="005C480B"/>
    <w:rsid w:val="005C5A76"/>
    <w:rsid w:val="005C6C3B"/>
    <w:rsid w:val="005D0C78"/>
    <w:rsid w:val="005D75DB"/>
    <w:rsid w:val="005E1375"/>
    <w:rsid w:val="005E1971"/>
    <w:rsid w:val="005E3F77"/>
    <w:rsid w:val="006043DF"/>
    <w:rsid w:val="0060732D"/>
    <w:rsid w:val="00610986"/>
    <w:rsid w:val="00612C40"/>
    <w:rsid w:val="0061542F"/>
    <w:rsid w:val="00615EFF"/>
    <w:rsid w:val="00625A9C"/>
    <w:rsid w:val="00626186"/>
    <w:rsid w:val="0063105A"/>
    <w:rsid w:val="0063305E"/>
    <w:rsid w:val="00634AC6"/>
    <w:rsid w:val="00637D10"/>
    <w:rsid w:val="0065301D"/>
    <w:rsid w:val="00654190"/>
    <w:rsid w:val="006626BD"/>
    <w:rsid w:val="00673814"/>
    <w:rsid w:val="0068064C"/>
    <w:rsid w:val="00685D6D"/>
    <w:rsid w:val="0069273A"/>
    <w:rsid w:val="00695EC7"/>
    <w:rsid w:val="00696387"/>
    <w:rsid w:val="006C0047"/>
    <w:rsid w:val="006C02E9"/>
    <w:rsid w:val="006D5CFA"/>
    <w:rsid w:val="006E12B9"/>
    <w:rsid w:val="006E1E70"/>
    <w:rsid w:val="006E3C10"/>
    <w:rsid w:val="006F3187"/>
    <w:rsid w:val="00705287"/>
    <w:rsid w:val="00713AEC"/>
    <w:rsid w:val="00716419"/>
    <w:rsid w:val="0072177A"/>
    <w:rsid w:val="00725C8B"/>
    <w:rsid w:val="007345AC"/>
    <w:rsid w:val="00737CCE"/>
    <w:rsid w:val="007412E6"/>
    <w:rsid w:val="00746BAC"/>
    <w:rsid w:val="00760048"/>
    <w:rsid w:val="007801F8"/>
    <w:rsid w:val="00791574"/>
    <w:rsid w:val="007A277D"/>
    <w:rsid w:val="007A4185"/>
    <w:rsid w:val="007A5165"/>
    <w:rsid w:val="007A61E4"/>
    <w:rsid w:val="007A6CF8"/>
    <w:rsid w:val="007B72A5"/>
    <w:rsid w:val="007C73D2"/>
    <w:rsid w:val="007C78CD"/>
    <w:rsid w:val="007D4F98"/>
    <w:rsid w:val="007E0EA1"/>
    <w:rsid w:val="007E1EF4"/>
    <w:rsid w:val="007E27D2"/>
    <w:rsid w:val="007E3CA8"/>
    <w:rsid w:val="007F223F"/>
    <w:rsid w:val="007F5B7B"/>
    <w:rsid w:val="007F6121"/>
    <w:rsid w:val="00800CB9"/>
    <w:rsid w:val="00806AF0"/>
    <w:rsid w:val="00822585"/>
    <w:rsid w:val="00830274"/>
    <w:rsid w:val="00841A15"/>
    <w:rsid w:val="00871B60"/>
    <w:rsid w:val="00873130"/>
    <w:rsid w:val="00876AD0"/>
    <w:rsid w:val="00881B3C"/>
    <w:rsid w:val="00890898"/>
    <w:rsid w:val="008A60EB"/>
    <w:rsid w:val="008A7695"/>
    <w:rsid w:val="008A7926"/>
    <w:rsid w:val="008C5C31"/>
    <w:rsid w:val="008D4EC3"/>
    <w:rsid w:val="008D7B94"/>
    <w:rsid w:val="008E1C09"/>
    <w:rsid w:val="008E3702"/>
    <w:rsid w:val="008E3DC9"/>
    <w:rsid w:val="008F2F5D"/>
    <w:rsid w:val="008F5567"/>
    <w:rsid w:val="008F62AA"/>
    <w:rsid w:val="00900EB9"/>
    <w:rsid w:val="009058F2"/>
    <w:rsid w:val="0090629C"/>
    <w:rsid w:val="0090747F"/>
    <w:rsid w:val="0091346B"/>
    <w:rsid w:val="00922E88"/>
    <w:rsid w:val="009335C9"/>
    <w:rsid w:val="00934D57"/>
    <w:rsid w:val="00945989"/>
    <w:rsid w:val="00960DE5"/>
    <w:rsid w:val="00963DEA"/>
    <w:rsid w:val="00967803"/>
    <w:rsid w:val="0097269C"/>
    <w:rsid w:val="0097565F"/>
    <w:rsid w:val="00982C43"/>
    <w:rsid w:val="00987129"/>
    <w:rsid w:val="009871C4"/>
    <w:rsid w:val="009938BD"/>
    <w:rsid w:val="0099577B"/>
    <w:rsid w:val="00996936"/>
    <w:rsid w:val="009A462F"/>
    <w:rsid w:val="009B5F04"/>
    <w:rsid w:val="009C2BD0"/>
    <w:rsid w:val="009F376D"/>
    <w:rsid w:val="00A01D4B"/>
    <w:rsid w:val="00A07A64"/>
    <w:rsid w:val="00A1072C"/>
    <w:rsid w:val="00A1622A"/>
    <w:rsid w:val="00A17A84"/>
    <w:rsid w:val="00A22918"/>
    <w:rsid w:val="00A27AD2"/>
    <w:rsid w:val="00A32C3F"/>
    <w:rsid w:val="00A351C0"/>
    <w:rsid w:val="00A62337"/>
    <w:rsid w:val="00A66F71"/>
    <w:rsid w:val="00A70A4F"/>
    <w:rsid w:val="00A71A32"/>
    <w:rsid w:val="00A740EA"/>
    <w:rsid w:val="00A83A39"/>
    <w:rsid w:val="00A8755B"/>
    <w:rsid w:val="00A94831"/>
    <w:rsid w:val="00A97F64"/>
    <w:rsid w:val="00AA5F3B"/>
    <w:rsid w:val="00AB14FC"/>
    <w:rsid w:val="00AB1660"/>
    <w:rsid w:val="00AB17AB"/>
    <w:rsid w:val="00AB63E1"/>
    <w:rsid w:val="00AC0695"/>
    <w:rsid w:val="00AD0E56"/>
    <w:rsid w:val="00AD5A49"/>
    <w:rsid w:val="00AE22A1"/>
    <w:rsid w:val="00AF3BA7"/>
    <w:rsid w:val="00AF41F4"/>
    <w:rsid w:val="00AF46F1"/>
    <w:rsid w:val="00AF6830"/>
    <w:rsid w:val="00AF7D83"/>
    <w:rsid w:val="00B0380D"/>
    <w:rsid w:val="00B03B25"/>
    <w:rsid w:val="00B04170"/>
    <w:rsid w:val="00B06B30"/>
    <w:rsid w:val="00B114DE"/>
    <w:rsid w:val="00B239FF"/>
    <w:rsid w:val="00B25CD4"/>
    <w:rsid w:val="00B3023E"/>
    <w:rsid w:val="00B32ED9"/>
    <w:rsid w:val="00B33E92"/>
    <w:rsid w:val="00B36119"/>
    <w:rsid w:val="00B422BE"/>
    <w:rsid w:val="00B43588"/>
    <w:rsid w:val="00B43A64"/>
    <w:rsid w:val="00B54783"/>
    <w:rsid w:val="00B7723F"/>
    <w:rsid w:val="00B81B1B"/>
    <w:rsid w:val="00B82D74"/>
    <w:rsid w:val="00B82EBF"/>
    <w:rsid w:val="00B8675A"/>
    <w:rsid w:val="00B95795"/>
    <w:rsid w:val="00BA234A"/>
    <w:rsid w:val="00BA5454"/>
    <w:rsid w:val="00BA69A4"/>
    <w:rsid w:val="00BB09AD"/>
    <w:rsid w:val="00BB31A4"/>
    <w:rsid w:val="00BB3BBC"/>
    <w:rsid w:val="00BB4FB6"/>
    <w:rsid w:val="00BC01A8"/>
    <w:rsid w:val="00BC0527"/>
    <w:rsid w:val="00BC1BBA"/>
    <w:rsid w:val="00BC2668"/>
    <w:rsid w:val="00BC45D0"/>
    <w:rsid w:val="00BC5EC4"/>
    <w:rsid w:val="00BC602A"/>
    <w:rsid w:val="00BC7B33"/>
    <w:rsid w:val="00BD17C7"/>
    <w:rsid w:val="00BD54B7"/>
    <w:rsid w:val="00BE2766"/>
    <w:rsid w:val="00BE67E2"/>
    <w:rsid w:val="00BF1354"/>
    <w:rsid w:val="00BF35EE"/>
    <w:rsid w:val="00C06B2D"/>
    <w:rsid w:val="00C14ED4"/>
    <w:rsid w:val="00C1553D"/>
    <w:rsid w:val="00C20CF6"/>
    <w:rsid w:val="00C4091E"/>
    <w:rsid w:val="00C410BB"/>
    <w:rsid w:val="00C475B0"/>
    <w:rsid w:val="00C55345"/>
    <w:rsid w:val="00C5556C"/>
    <w:rsid w:val="00C57DDA"/>
    <w:rsid w:val="00C62AAE"/>
    <w:rsid w:val="00C675C7"/>
    <w:rsid w:val="00C71C96"/>
    <w:rsid w:val="00C7251B"/>
    <w:rsid w:val="00C90A8E"/>
    <w:rsid w:val="00C934DB"/>
    <w:rsid w:val="00C9469B"/>
    <w:rsid w:val="00CA4448"/>
    <w:rsid w:val="00CA53BC"/>
    <w:rsid w:val="00CA54EA"/>
    <w:rsid w:val="00CB756A"/>
    <w:rsid w:val="00CB7E58"/>
    <w:rsid w:val="00CB7EA3"/>
    <w:rsid w:val="00CC1710"/>
    <w:rsid w:val="00CC56C2"/>
    <w:rsid w:val="00CD1203"/>
    <w:rsid w:val="00CD3384"/>
    <w:rsid w:val="00CD76C1"/>
    <w:rsid w:val="00CE1567"/>
    <w:rsid w:val="00CE5DB4"/>
    <w:rsid w:val="00CF41B8"/>
    <w:rsid w:val="00CF7390"/>
    <w:rsid w:val="00D03A0F"/>
    <w:rsid w:val="00D05024"/>
    <w:rsid w:val="00D06A86"/>
    <w:rsid w:val="00D07F9F"/>
    <w:rsid w:val="00D1168D"/>
    <w:rsid w:val="00D24367"/>
    <w:rsid w:val="00D26B07"/>
    <w:rsid w:val="00D27E66"/>
    <w:rsid w:val="00D31DE7"/>
    <w:rsid w:val="00D352AB"/>
    <w:rsid w:val="00D3562E"/>
    <w:rsid w:val="00D36618"/>
    <w:rsid w:val="00D445DE"/>
    <w:rsid w:val="00D64195"/>
    <w:rsid w:val="00D848DD"/>
    <w:rsid w:val="00D94264"/>
    <w:rsid w:val="00D96FCC"/>
    <w:rsid w:val="00DA1221"/>
    <w:rsid w:val="00DA3D2B"/>
    <w:rsid w:val="00DB05CD"/>
    <w:rsid w:val="00DB1D11"/>
    <w:rsid w:val="00DB65FD"/>
    <w:rsid w:val="00DC6452"/>
    <w:rsid w:val="00DC70C0"/>
    <w:rsid w:val="00DD090C"/>
    <w:rsid w:val="00DD3C0B"/>
    <w:rsid w:val="00DE5FE0"/>
    <w:rsid w:val="00DF45BC"/>
    <w:rsid w:val="00DF6E18"/>
    <w:rsid w:val="00E058BE"/>
    <w:rsid w:val="00E13E58"/>
    <w:rsid w:val="00E201FA"/>
    <w:rsid w:val="00E20508"/>
    <w:rsid w:val="00E356BE"/>
    <w:rsid w:val="00E37CFD"/>
    <w:rsid w:val="00E400AA"/>
    <w:rsid w:val="00E41272"/>
    <w:rsid w:val="00E415D6"/>
    <w:rsid w:val="00E43354"/>
    <w:rsid w:val="00E46DF3"/>
    <w:rsid w:val="00E62C37"/>
    <w:rsid w:val="00E63272"/>
    <w:rsid w:val="00E633AC"/>
    <w:rsid w:val="00E63B3B"/>
    <w:rsid w:val="00E66094"/>
    <w:rsid w:val="00E66538"/>
    <w:rsid w:val="00E72386"/>
    <w:rsid w:val="00E7431B"/>
    <w:rsid w:val="00E75854"/>
    <w:rsid w:val="00E75976"/>
    <w:rsid w:val="00E77710"/>
    <w:rsid w:val="00E8190E"/>
    <w:rsid w:val="00E824A3"/>
    <w:rsid w:val="00E85486"/>
    <w:rsid w:val="00E91BFE"/>
    <w:rsid w:val="00E93E42"/>
    <w:rsid w:val="00E97B14"/>
    <w:rsid w:val="00EB000C"/>
    <w:rsid w:val="00EC4239"/>
    <w:rsid w:val="00EC4A88"/>
    <w:rsid w:val="00ED1C3D"/>
    <w:rsid w:val="00ED66B1"/>
    <w:rsid w:val="00EE1724"/>
    <w:rsid w:val="00F05D10"/>
    <w:rsid w:val="00F070F1"/>
    <w:rsid w:val="00F23705"/>
    <w:rsid w:val="00F25466"/>
    <w:rsid w:val="00F339A2"/>
    <w:rsid w:val="00F348F2"/>
    <w:rsid w:val="00F40548"/>
    <w:rsid w:val="00F47AED"/>
    <w:rsid w:val="00F605B8"/>
    <w:rsid w:val="00F60D1B"/>
    <w:rsid w:val="00F6401A"/>
    <w:rsid w:val="00F74545"/>
    <w:rsid w:val="00F76328"/>
    <w:rsid w:val="00F7655F"/>
    <w:rsid w:val="00F81C12"/>
    <w:rsid w:val="00F82295"/>
    <w:rsid w:val="00F90204"/>
    <w:rsid w:val="00FA7AD8"/>
    <w:rsid w:val="00FC0E80"/>
    <w:rsid w:val="00FE436E"/>
    <w:rsid w:val="00FE46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BDF93B"/>
  <w15:docId w15:val="{C3C004E7-5FCF-48A0-B6BC-9691AE32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185"/>
    <w:pPr>
      <w:spacing w:after="0" w:line="300" w:lineRule="exact"/>
    </w:pPr>
    <w:rPr>
      <w:rFonts w:ascii="Calibri" w:hAnsi="Calibri"/>
      <w:color w:val="000000" w:themeColor="text1"/>
    </w:rPr>
  </w:style>
  <w:style w:type="paragraph" w:styleId="Heading1">
    <w:name w:val="heading 1"/>
    <w:aliases w:val="Subject page,Section title"/>
    <w:basedOn w:val="Normal"/>
    <w:next w:val="Normal"/>
    <w:link w:val="Heading1Char"/>
    <w:uiPriority w:val="9"/>
    <w:qFormat/>
    <w:rsid w:val="007A4185"/>
    <w:pPr>
      <w:pageBreakBefore/>
      <w:numPr>
        <w:numId w:val="16"/>
      </w:numPr>
      <w:autoSpaceDE w:val="0"/>
      <w:autoSpaceDN w:val="0"/>
      <w:adjustRightInd w:val="0"/>
      <w:spacing w:after="120" w:line="600" w:lineRule="exact"/>
      <w:outlineLvl w:val="0"/>
    </w:pPr>
    <w:rPr>
      <w:rFonts w:cstheme="minorHAnsi"/>
      <w:sz w:val="44"/>
      <w:szCs w:val="60"/>
    </w:rPr>
  </w:style>
  <w:style w:type="paragraph" w:styleId="Heading2">
    <w:name w:val="heading 2"/>
    <w:aliases w:val="Sub-heading,Subject title"/>
    <w:basedOn w:val="Heading1"/>
    <w:next w:val="Normal"/>
    <w:link w:val="Heading2Char"/>
    <w:uiPriority w:val="9"/>
    <w:unhideWhenUsed/>
    <w:qFormat/>
    <w:rsid w:val="007A4185"/>
    <w:pPr>
      <w:keepNext/>
      <w:pageBreakBefore w:val="0"/>
      <w:numPr>
        <w:ilvl w:val="1"/>
      </w:numPr>
      <w:spacing w:after="240" w:line="300" w:lineRule="exact"/>
      <w:outlineLvl w:val="1"/>
    </w:pPr>
    <w:rPr>
      <w:b/>
      <w:sz w:val="28"/>
    </w:rPr>
  </w:style>
  <w:style w:type="paragraph" w:styleId="Heading3">
    <w:name w:val="heading 3"/>
    <w:basedOn w:val="Normal"/>
    <w:next w:val="Normal"/>
    <w:link w:val="Heading3Char"/>
    <w:uiPriority w:val="9"/>
    <w:unhideWhenUsed/>
    <w:qFormat/>
    <w:rsid w:val="00A97F64"/>
    <w:pPr>
      <w:keepNext/>
      <w:numPr>
        <w:ilvl w:val="2"/>
        <w:numId w:val="16"/>
      </w:numPr>
      <w:spacing w:before="60" w:after="60"/>
      <w:ind w:left="720"/>
      <w:outlineLvl w:val="2"/>
    </w:pPr>
    <w:rPr>
      <w:rFonts w:cstheme="minorHAnsi"/>
      <w:b/>
    </w:rPr>
  </w:style>
  <w:style w:type="paragraph" w:styleId="Heading4">
    <w:name w:val="heading 4"/>
    <w:basedOn w:val="Normal"/>
    <w:next w:val="Normal"/>
    <w:link w:val="Heading4Char"/>
    <w:uiPriority w:val="9"/>
    <w:qFormat/>
    <w:rsid w:val="007A4185"/>
    <w:pPr>
      <w:numPr>
        <w:ilvl w:val="3"/>
        <w:numId w:val="16"/>
      </w:numPr>
      <w:outlineLvl w:val="3"/>
    </w:pPr>
  </w:style>
  <w:style w:type="paragraph" w:styleId="Heading5">
    <w:name w:val="heading 5"/>
    <w:basedOn w:val="Normal"/>
    <w:next w:val="Normal"/>
    <w:link w:val="Heading5Char"/>
    <w:uiPriority w:val="9"/>
    <w:rsid w:val="007A4185"/>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A4185"/>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A4185"/>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A4185"/>
    <w:pPr>
      <w:keepNext/>
      <w:keepLines/>
      <w:numPr>
        <w:ilvl w:val="7"/>
        <w:numId w:val="1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A4185"/>
    <w:pPr>
      <w:keepNext/>
      <w:keepLines/>
      <w:numPr>
        <w:ilvl w:val="8"/>
        <w:numId w:val="1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4185"/>
    <w:pPr>
      <w:pBdr>
        <w:bottom w:val="single" w:sz="4" w:space="4" w:color="auto"/>
      </w:pBdr>
      <w:spacing w:line="140" w:lineRule="exact"/>
      <w:jc w:val="right"/>
    </w:pPr>
    <w:rPr>
      <w:rFonts w:asciiTheme="majorHAnsi" w:hAnsiTheme="majorHAnsi" w:cstheme="majorHAnsi"/>
      <w:noProof/>
      <w:sz w:val="12"/>
      <w:szCs w:val="12"/>
      <w:lang w:eastAsia="en-GB"/>
    </w:rPr>
  </w:style>
  <w:style w:type="character" w:customStyle="1" w:styleId="HeaderChar">
    <w:name w:val="Header Char"/>
    <w:basedOn w:val="DefaultParagraphFont"/>
    <w:link w:val="Header"/>
    <w:uiPriority w:val="99"/>
    <w:rsid w:val="007A4185"/>
    <w:rPr>
      <w:rFonts w:asciiTheme="majorHAnsi" w:hAnsiTheme="majorHAnsi" w:cstheme="majorHAnsi"/>
      <w:noProof/>
      <w:color w:val="000000" w:themeColor="text1"/>
      <w:sz w:val="12"/>
      <w:szCs w:val="12"/>
      <w:lang w:eastAsia="en-GB"/>
    </w:rPr>
  </w:style>
  <w:style w:type="paragraph" w:styleId="Footer">
    <w:name w:val="footer"/>
    <w:basedOn w:val="Normal"/>
    <w:link w:val="FooterChar"/>
    <w:uiPriority w:val="9"/>
    <w:unhideWhenUsed/>
    <w:rsid w:val="007A4185"/>
    <w:pPr>
      <w:tabs>
        <w:tab w:val="center" w:pos="4513"/>
        <w:tab w:val="right" w:pos="9026"/>
      </w:tabs>
    </w:pPr>
  </w:style>
  <w:style w:type="character" w:customStyle="1" w:styleId="FooterChar">
    <w:name w:val="Footer Char"/>
    <w:basedOn w:val="DefaultParagraphFont"/>
    <w:link w:val="Footer"/>
    <w:uiPriority w:val="9"/>
    <w:rsid w:val="007A4185"/>
    <w:rPr>
      <w:rFonts w:ascii="Calibri" w:hAnsi="Calibri"/>
      <w:color w:val="000000" w:themeColor="text1"/>
    </w:rPr>
  </w:style>
  <w:style w:type="paragraph" w:styleId="BalloonText">
    <w:name w:val="Balloon Text"/>
    <w:basedOn w:val="Normal"/>
    <w:link w:val="BalloonTextChar"/>
    <w:uiPriority w:val="99"/>
    <w:semiHidden/>
    <w:unhideWhenUsed/>
    <w:rsid w:val="007A4185"/>
    <w:rPr>
      <w:rFonts w:ascii="Tahoma" w:hAnsi="Tahoma" w:cs="Tahoma"/>
      <w:sz w:val="16"/>
      <w:szCs w:val="16"/>
    </w:rPr>
  </w:style>
  <w:style w:type="character" w:customStyle="1" w:styleId="BalloonTextChar">
    <w:name w:val="Balloon Text Char"/>
    <w:basedOn w:val="DefaultParagraphFont"/>
    <w:link w:val="BalloonText"/>
    <w:uiPriority w:val="99"/>
    <w:semiHidden/>
    <w:rsid w:val="007A4185"/>
    <w:rPr>
      <w:rFonts w:ascii="Tahoma" w:hAnsi="Tahoma" w:cs="Tahoma"/>
      <w:color w:val="000000" w:themeColor="text1"/>
      <w:sz w:val="16"/>
      <w:szCs w:val="16"/>
    </w:rPr>
  </w:style>
  <w:style w:type="paragraph" w:customStyle="1" w:styleId="Dashedbullets">
    <w:name w:val="Dashed bullets"/>
    <w:basedOn w:val="Normal"/>
    <w:qFormat/>
    <w:rsid w:val="007A4185"/>
    <w:pPr>
      <w:numPr>
        <w:numId w:val="14"/>
      </w:numPr>
    </w:pPr>
  </w:style>
  <w:style w:type="character" w:customStyle="1" w:styleId="Heading1Char">
    <w:name w:val="Heading 1 Char"/>
    <w:aliases w:val="Subject page Char,Section title Char"/>
    <w:basedOn w:val="DefaultParagraphFont"/>
    <w:link w:val="Heading1"/>
    <w:uiPriority w:val="9"/>
    <w:rsid w:val="007A4185"/>
    <w:rPr>
      <w:rFonts w:ascii="Calibri" w:hAnsi="Calibri" w:cstheme="minorHAnsi"/>
      <w:color w:val="000000" w:themeColor="text1"/>
      <w:sz w:val="44"/>
      <w:szCs w:val="60"/>
    </w:rPr>
  </w:style>
  <w:style w:type="character" w:customStyle="1" w:styleId="Heading2Char">
    <w:name w:val="Heading 2 Char"/>
    <w:aliases w:val="Sub-heading Char,Subject title Char"/>
    <w:basedOn w:val="DefaultParagraphFont"/>
    <w:link w:val="Heading2"/>
    <w:uiPriority w:val="9"/>
    <w:rsid w:val="007A4185"/>
    <w:rPr>
      <w:rFonts w:ascii="Calibri" w:hAnsi="Calibri" w:cstheme="minorHAnsi"/>
      <w:b/>
      <w:color w:val="000000" w:themeColor="text1"/>
      <w:sz w:val="28"/>
      <w:szCs w:val="60"/>
    </w:rPr>
  </w:style>
  <w:style w:type="character" w:customStyle="1" w:styleId="Heading3Char">
    <w:name w:val="Heading 3 Char"/>
    <w:basedOn w:val="DefaultParagraphFont"/>
    <w:link w:val="Heading3"/>
    <w:uiPriority w:val="9"/>
    <w:rsid w:val="00A97F64"/>
    <w:rPr>
      <w:rFonts w:ascii="Calibri" w:hAnsi="Calibri" w:cstheme="minorHAnsi"/>
      <w:b/>
      <w:color w:val="000000" w:themeColor="text1"/>
    </w:rPr>
  </w:style>
  <w:style w:type="character" w:customStyle="1" w:styleId="Heading4Char">
    <w:name w:val="Heading 4 Char"/>
    <w:basedOn w:val="DefaultParagraphFont"/>
    <w:link w:val="Heading4"/>
    <w:uiPriority w:val="9"/>
    <w:rsid w:val="007A4185"/>
    <w:rPr>
      <w:rFonts w:ascii="Calibri" w:hAnsi="Calibri"/>
      <w:color w:val="000000" w:themeColor="text1"/>
    </w:rPr>
  </w:style>
  <w:style w:type="character" w:customStyle="1" w:styleId="Heading5Char">
    <w:name w:val="Heading 5 Char"/>
    <w:basedOn w:val="DefaultParagraphFont"/>
    <w:link w:val="Heading5"/>
    <w:uiPriority w:val="9"/>
    <w:rsid w:val="007A41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A41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A41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A4185"/>
    <w:rPr>
      <w:rFonts w:asciiTheme="majorHAnsi" w:eastAsiaTheme="majorEastAsia" w:hAnsiTheme="majorHAnsi" w:cstheme="majorBidi"/>
      <w:color w:val="404040" w:themeColor="text1" w:themeTint="BF"/>
      <w:szCs w:val="20"/>
    </w:rPr>
  </w:style>
  <w:style w:type="paragraph" w:customStyle="1" w:styleId="Acknowledgements">
    <w:name w:val="Acknowledgements"/>
    <w:basedOn w:val="Normal"/>
    <w:qFormat/>
    <w:rsid w:val="007A4185"/>
    <w:pPr>
      <w:pageBreakBefore/>
      <w:spacing w:after="480" w:line="600" w:lineRule="exact"/>
    </w:pPr>
    <w:rPr>
      <w:sz w:val="44"/>
      <w:szCs w:val="60"/>
    </w:rPr>
  </w:style>
  <w:style w:type="paragraph" w:customStyle="1" w:styleId="Appendix">
    <w:name w:val="Appendix"/>
    <w:basedOn w:val="Heading1"/>
    <w:qFormat/>
    <w:rsid w:val="007A4185"/>
    <w:pPr>
      <w:numPr>
        <w:numId w:val="0"/>
      </w:numPr>
      <w:spacing w:after="480"/>
    </w:pPr>
  </w:style>
  <w:style w:type="paragraph" w:customStyle="1" w:styleId="Subheading">
    <w:name w:val="Subheading"/>
    <w:basedOn w:val="Normal"/>
    <w:qFormat/>
    <w:rsid w:val="007A4185"/>
    <w:pPr>
      <w:autoSpaceDE w:val="0"/>
      <w:autoSpaceDN w:val="0"/>
      <w:adjustRightInd w:val="0"/>
      <w:spacing w:before="240" w:after="600" w:line="360" w:lineRule="exact"/>
    </w:pPr>
    <w:rPr>
      <w:rFonts w:cstheme="minorHAnsi"/>
      <w:b/>
      <w:bCs/>
      <w:sz w:val="28"/>
      <w:szCs w:val="30"/>
    </w:rPr>
  </w:style>
  <w:style w:type="paragraph" w:customStyle="1" w:styleId="Appendixheading">
    <w:name w:val="Appendix heading"/>
    <w:basedOn w:val="Subheading"/>
    <w:next w:val="Normal"/>
    <w:qFormat/>
    <w:rsid w:val="007A4185"/>
    <w:pPr>
      <w:spacing w:before="120" w:after="120"/>
    </w:pPr>
  </w:style>
  <w:style w:type="paragraph" w:customStyle="1" w:styleId="Charttitle">
    <w:name w:val="Chart title"/>
    <w:basedOn w:val="Normal"/>
    <w:qFormat/>
    <w:rsid w:val="007A4185"/>
    <w:pPr>
      <w:keepNext/>
      <w:numPr>
        <w:numId w:val="3"/>
      </w:numPr>
      <w:pBdr>
        <w:top w:val="single" w:sz="4" w:space="1" w:color="7F7F7F" w:themeColor="text1" w:themeTint="80"/>
      </w:pBdr>
      <w:autoSpaceDE w:val="0"/>
      <w:autoSpaceDN w:val="0"/>
      <w:adjustRightInd w:val="0"/>
      <w:spacing w:before="480" w:after="120" w:line="220" w:lineRule="atLeast"/>
    </w:pPr>
    <w:rPr>
      <w:rFonts w:cstheme="minorHAnsi"/>
      <w:b/>
      <w:iCs/>
      <w:color w:val="000000"/>
      <w:sz w:val="20"/>
      <w:szCs w:val="20"/>
    </w:rPr>
  </w:style>
  <w:style w:type="paragraph" w:customStyle="1" w:styleId="Boxtitle">
    <w:name w:val="Box title"/>
    <w:basedOn w:val="Charttitle"/>
    <w:qFormat/>
    <w:rsid w:val="007A4185"/>
    <w:pPr>
      <w:numPr>
        <w:numId w:val="4"/>
      </w:numPr>
      <w:pBdr>
        <w:top w:val="none" w:sz="0" w:space="0" w:color="auto"/>
      </w:pBdr>
      <w:spacing w:before="240" w:after="240"/>
    </w:pPr>
    <w:rPr>
      <w:color w:val="000000" w:themeColor="text1"/>
    </w:rPr>
  </w:style>
  <w:style w:type="paragraph" w:customStyle="1" w:styleId="Chartspacer">
    <w:name w:val="Chart spacer"/>
    <w:basedOn w:val="Normal"/>
    <w:qFormat/>
    <w:rsid w:val="007A4185"/>
    <w:pPr>
      <w:spacing w:line="240" w:lineRule="auto"/>
    </w:pPr>
    <w:rPr>
      <w:sz w:val="8"/>
      <w:szCs w:val="8"/>
    </w:rPr>
  </w:style>
  <w:style w:type="paragraph" w:customStyle="1" w:styleId="Client">
    <w:name w:val="Client"/>
    <w:basedOn w:val="Normal"/>
    <w:rsid w:val="007A4185"/>
    <w:pPr>
      <w:spacing w:before="360" w:line="360" w:lineRule="exact"/>
      <w:ind w:left="2410"/>
    </w:pPr>
    <w:rPr>
      <w:rFonts w:asciiTheme="minorHAnsi" w:hAnsiTheme="minorHAnsi" w:cstheme="minorHAnsi"/>
      <w:b/>
      <w:sz w:val="28"/>
      <w:szCs w:val="20"/>
    </w:rPr>
  </w:style>
  <w:style w:type="character" w:styleId="CommentReference">
    <w:name w:val="annotation reference"/>
    <w:basedOn w:val="DefaultParagraphFont"/>
    <w:uiPriority w:val="99"/>
    <w:semiHidden/>
    <w:unhideWhenUsed/>
    <w:rsid w:val="007A4185"/>
    <w:rPr>
      <w:sz w:val="16"/>
      <w:szCs w:val="16"/>
    </w:rPr>
  </w:style>
  <w:style w:type="paragraph" w:styleId="CommentText">
    <w:name w:val="annotation text"/>
    <w:basedOn w:val="Normal"/>
    <w:link w:val="CommentTextChar"/>
    <w:uiPriority w:val="99"/>
    <w:semiHidden/>
    <w:unhideWhenUsed/>
    <w:rsid w:val="007A4185"/>
    <w:pPr>
      <w:spacing w:line="240" w:lineRule="auto"/>
    </w:pPr>
    <w:rPr>
      <w:sz w:val="20"/>
      <w:szCs w:val="20"/>
    </w:rPr>
  </w:style>
  <w:style w:type="character" w:customStyle="1" w:styleId="CommentTextChar">
    <w:name w:val="Comment Text Char"/>
    <w:basedOn w:val="DefaultParagraphFont"/>
    <w:link w:val="CommentText"/>
    <w:uiPriority w:val="99"/>
    <w:semiHidden/>
    <w:rsid w:val="007A4185"/>
    <w:rPr>
      <w:rFonts w:ascii="Calibri" w:hAnsi="Calibri"/>
      <w:color w:val="000000" w:themeColor="text1"/>
      <w:sz w:val="20"/>
      <w:szCs w:val="20"/>
    </w:rPr>
  </w:style>
  <w:style w:type="paragraph" w:customStyle="1" w:styleId="CompanyProfile">
    <w:name w:val="Company Profile"/>
    <w:basedOn w:val="Normal"/>
    <w:qFormat/>
    <w:rsid w:val="007A4185"/>
  </w:style>
  <w:style w:type="paragraph" w:customStyle="1" w:styleId="Contents">
    <w:name w:val="Contents"/>
    <w:basedOn w:val="Normal"/>
    <w:rsid w:val="007A4185"/>
    <w:pPr>
      <w:pageBreakBefore/>
      <w:spacing w:after="540" w:line="600" w:lineRule="exact"/>
      <w:ind w:left="2410"/>
    </w:pPr>
    <w:rPr>
      <w:rFonts w:cs="Arial"/>
      <w:color w:val="221E1F"/>
      <w:sz w:val="60"/>
      <w:szCs w:val="60"/>
    </w:rPr>
  </w:style>
  <w:style w:type="paragraph" w:styleId="Date">
    <w:name w:val="Date"/>
    <w:basedOn w:val="Normal"/>
    <w:next w:val="Normal"/>
    <w:link w:val="DateChar"/>
    <w:uiPriority w:val="9"/>
    <w:rsid w:val="007A4185"/>
    <w:pPr>
      <w:spacing w:line="360" w:lineRule="exact"/>
      <w:ind w:left="2410"/>
    </w:pPr>
    <w:rPr>
      <w:rFonts w:asciiTheme="minorHAnsi" w:hAnsiTheme="minorHAnsi" w:cstheme="minorHAnsi"/>
      <w:color w:val="666666"/>
      <w:sz w:val="28"/>
      <w:szCs w:val="30"/>
    </w:rPr>
  </w:style>
  <w:style w:type="character" w:customStyle="1" w:styleId="DateChar">
    <w:name w:val="Date Char"/>
    <w:basedOn w:val="DefaultParagraphFont"/>
    <w:link w:val="Date"/>
    <w:uiPriority w:val="9"/>
    <w:rsid w:val="007A4185"/>
    <w:rPr>
      <w:rFonts w:cstheme="minorHAnsi"/>
      <w:color w:val="666666"/>
      <w:sz w:val="28"/>
      <w:szCs w:val="30"/>
    </w:rPr>
  </w:style>
  <w:style w:type="paragraph" w:customStyle="1" w:styleId="ExecutiveSummary">
    <w:name w:val="Executive Summary"/>
    <w:basedOn w:val="Heading1"/>
    <w:rsid w:val="007A4185"/>
    <w:pPr>
      <w:numPr>
        <w:numId w:val="0"/>
      </w:numPr>
      <w:outlineLvl w:val="9"/>
    </w:pPr>
  </w:style>
  <w:style w:type="character" w:styleId="FootnoteReference">
    <w:name w:val="footnote reference"/>
    <w:basedOn w:val="DefaultParagraphFont"/>
    <w:uiPriority w:val="99"/>
    <w:semiHidden/>
    <w:unhideWhenUsed/>
    <w:rsid w:val="007A4185"/>
    <w:rPr>
      <w:vertAlign w:val="superscript"/>
    </w:rPr>
  </w:style>
  <w:style w:type="paragraph" w:styleId="FootnoteText">
    <w:name w:val="footnote text"/>
    <w:basedOn w:val="Normal"/>
    <w:link w:val="FootnoteTextChar"/>
    <w:uiPriority w:val="9"/>
    <w:rsid w:val="007A4185"/>
    <w:pPr>
      <w:pBdr>
        <w:top w:val="single" w:sz="4" w:space="1" w:color="7F7F7F" w:themeColor="text1" w:themeTint="80"/>
      </w:pBdr>
      <w:spacing w:before="120" w:after="240" w:line="240" w:lineRule="auto"/>
    </w:pPr>
    <w:rPr>
      <w:rFonts w:asciiTheme="minorHAnsi" w:hAnsiTheme="minorHAnsi" w:cstheme="minorHAnsi"/>
      <w:sz w:val="16"/>
      <w:szCs w:val="16"/>
    </w:rPr>
  </w:style>
  <w:style w:type="character" w:customStyle="1" w:styleId="FootnoteTextChar">
    <w:name w:val="Footnote Text Char"/>
    <w:basedOn w:val="DefaultParagraphFont"/>
    <w:link w:val="FootnoteText"/>
    <w:uiPriority w:val="9"/>
    <w:rsid w:val="007A4185"/>
    <w:rPr>
      <w:rFonts w:cstheme="minorHAnsi"/>
      <w:color w:val="000000" w:themeColor="text1"/>
      <w:sz w:val="16"/>
      <w:szCs w:val="16"/>
    </w:rPr>
  </w:style>
  <w:style w:type="character" w:customStyle="1" w:styleId="Heading9Char">
    <w:name w:val="Heading 9 Char"/>
    <w:basedOn w:val="DefaultParagraphFont"/>
    <w:link w:val="Heading9"/>
    <w:uiPriority w:val="9"/>
    <w:semiHidden/>
    <w:rsid w:val="007A4185"/>
    <w:rPr>
      <w:rFonts w:asciiTheme="majorHAnsi" w:eastAsiaTheme="majorEastAsia" w:hAnsiTheme="majorHAnsi" w:cstheme="majorBidi"/>
      <w:i/>
      <w:iCs/>
      <w:color w:val="404040" w:themeColor="text1" w:themeTint="BF"/>
      <w:szCs w:val="20"/>
    </w:rPr>
  </w:style>
  <w:style w:type="character" w:styleId="Hyperlink">
    <w:name w:val="Hyperlink"/>
    <w:basedOn w:val="DefaultParagraphFont"/>
    <w:uiPriority w:val="99"/>
    <w:unhideWhenUsed/>
    <w:qFormat/>
    <w:rsid w:val="007A4185"/>
    <w:rPr>
      <w:color w:val="008CD1"/>
      <w:u w:val="single"/>
    </w:rPr>
  </w:style>
  <w:style w:type="paragraph" w:customStyle="1" w:styleId="Indentedbullet">
    <w:name w:val="Indented bullet"/>
    <w:basedOn w:val="Dashedbullets"/>
    <w:qFormat/>
    <w:rsid w:val="007A4185"/>
    <w:pPr>
      <w:ind w:left="568"/>
    </w:pPr>
  </w:style>
  <w:style w:type="paragraph" w:customStyle="1" w:styleId="Listoffigures">
    <w:name w:val="List of figures"/>
    <w:basedOn w:val="Contents"/>
    <w:rsid w:val="007A4185"/>
    <w:pPr>
      <w:pageBreakBefore w:val="0"/>
      <w:spacing w:before="120"/>
    </w:pPr>
  </w:style>
  <w:style w:type="paragraph" w:styleId="ListParagraph">
    <w:name w:val="List Paragraph"/>
    <w:basedOn w:val="Normal"/>
    <w:uiPriority w:val="34"/>
    <w:qFormat/>
    <w:rsid w:val="007A4185"/>
    <w:pPr>
      <w:ind w:left="720"/>
      <w:contextualSpacing/>
    </w:pPr>
  </w:style>
  <w:style w:type="paragraph" w:customStyle="1" w:styleId="Longquote">
    <w:name w:val="Long quote"/>
    <w:basedOn w:val="Normal"/>
    <w:qFormat/>
    <w:rsid w:val="007A4185"/>
    <w:pPr>
      <w:suppressAutoHyphens/>
      <w:autoSpaceDE w:val="0"/>
      <w:autoSpaceDN w:val="0"/>
      <w:adjustRightInd w:val="0"/>
      <w:spacing w:before="360" w:after="360" w:line="300" w:lineRule="atLeast"/>
      <w:ind w:left="1134" w:right="1134"/>
      <w:textAlignment w:val="center"/>
    </w:pPr>
    <w:rPr>
      <w:rFonts w:cs="Times New Roman"/>
      <w:i/>
    </w:rPr>
  </w:style>
  <w:style w:type="paragraph" w:styleId="NoSpacing">
    <w:name w:val="No Spacing"/>
    <w:uiPriority w:val="1"/>
    <w:qFormat/>
    <w:rsid w:val="007A4185"/>
    <w:pPr>
      <w:spacing w:after="0" w:line="240" w:lineRule="auto"/>
    </w:pPr>
    <w:rPr>
      <w:rFonts w:ascii="Calibri" w:hAnsi="Calibri"/>
      <w:color w:val="000000" w:themeColor="text1"/>
    </w:rPr>
  </w:style>
  <w:style w:type="paragraph" w:customStyle="1" w:styleId="Source">
    <w:name w:val="Source"/>
    <w:basedOn w:val="Normal"/>
    <w:qFormat/>
    <w:rsid w:val="007A4185"/>
    <w:pPr>
      <w:pBdr>
        <w:top w:val="single" w:sz="4" w:space="1" w:color="7F7F7F" w:themeColor="text1" w:themeTint="80"/>
      </w:pBdr>
      <w:autoSpaceDE w:val="0"/>
      <w:autoSpaceDN w:val="0"/>
      <w:adjustRightInd w:val="0"/>
      <w:spacing w:after="480"/>
      <w:ind w:left="993" w:hanging="993"/>
    </w:pPr>
    <w:rPr>
      <w:rFonts w:cstheme="minorHAnsi"/>
      <w:i/>
      <w:iCs/>
      <w:sz w:val="18"/>
      <w:szCs w:val="16"/>
    </w:rPr>
  </w:style>
  <w:style w:type="paragraph" w:customStyle="1" w:styleId="Note">
    <w:name w:val="Note"/>
    <w:basedOn w:val="Source"/>
    <w:qFormat/>
    <w:rsid w:val="007A4185"/>
    <w:pPr>
      <w:keepNext/>
      <w:spacing w:after="0"/>
    </w:pPr>
  </w:style>
  <w:style w:type="character" w:styleId="PageNumber">
    <w:name w:val="page number"/>
    <w:basedOn w:val="DefaultParagraphFont"/>
    <w:uiPriority w:val="99"/>
    <w:rsid w:val="007A4185"/>
    <w:rPr>
      <w:rFonts w:asciiTheme="minorHAnsi" w:hAnsiTheme="minorHAnsi"/>
      <w:sz w:val="16"/>
    </w:rPr>
  </w:style>
  <w:style w:type="character" w:styleId="PlaceholderText">
    <w:name w:val="Placeholder Text"/>
    <w:uiPriority w:val="99"/>
    <w:qFormat/>
    <w:rsid w:val="007A4185"/>
  </w:style>
  <w:style w:type="paragraph" w:styleId="Quote">
    <w:name w:val="Quote"/>
    <w:basedOn w:val="Normal"/>
    <w:next w:val="Normal"/>
    <w:link w:val="QuoteChar"/>
    <w:uiPriority w:val="9"/>
    <w:qFormat/>
    <w:rsid w:val="007A4185"/>
    <w:pPr>
      <w:spacing w:line="480" w:lineRule="exact"/>
    </w:pPr>
    <w:rPr>
      <w:rFonts w:cstheme="minorHAnsi"/>
      <w:i/>
      <w:iCs/>
      <w:color w:val="4D4D4D"/>
      <w:sz w:val="40"/>
      <w:szCs w:val="40"/>
    </w:rPr>
  </w:style>
  <w:style w:type="character" w:customStyle="1" w:styleId="QuoteChar">
    <w:name w:val="Quote Char"/>
    <w:basedOn w:val="DefaultParagraphFont"/>
    <w:link w:val="Quote"/>
    <w:uiPriority w:val="9"/>
    <w:rsid w:val="007A4185"/>
    <w:rPr>
      <w:rFonts w:ascii="Calibri" w:hAnsi="Calibri" w:cstheme="minorHAnsi"/>
      <w:i/>
      <w:iCs/>
      <w:color w:val="4D4D4D"/>
      <w:sz w:val="40"/>
      <w:szCs w:val="40"/>
    </w:rPr>
  </w:style>
  <w:style w:type="paragraph" w:customStyle="1" w:styleId="References">
    <w:name w:val="References"/>
    <w:basedOn w:val="Heading1"/>
    <w:rsid w:val="007A4185"/>
    <w:pPr>
      <w:numPr>
        <w:numId w:val="0"/>
      </w:numPr>
      <w:spacing w:after="600"/>
      <w:ind w:left="2410"/>
    </w:pPr>
  </w:style>
  <w:style w:type="paragraph" w:customStyle="1" w:styleId="Subsubtitle">
    <w:name w:val="Sub subtitle"/>
    <w:basedOn w:val="Normal"/>
    <w:qFormat/>
    <w:rsid w:val="007A4185"/>
  </w:style>
  <w:style w:type="paragraph" w:styleId="Subtitle">
    <w:name w:val="Subtitle"/>
    <w:basedOn w:val="Normal"/>
    <w:next w:val="Normal"/>
    <w:link w:val="SubtitleChar"/>
    <w:uiPriority w:val="9"/>
    <w:qFormat/>
    <w:rsid w:val="007A4185"/>
    <w:pPr>
      <w:numPr>
        <w:ilvl w:val="1"/>
      </w:numPr>
      <w:spacing w:after="240"/>
    </w:pPr>
    <w:rPr>
      <w:rFonts w:eastAsiaTheme="majorEastAsia" w:cstheme="majorBidi"/>
      <w:b/>
      <w:iCs/>
      <w:szCs w:val="24"/>
    </w:rPr>
  </w:style>
  <w:style w:type="character" w:customStyle="1" w:styleId="SubtitleChar">
    <w:name w:val="Subtitle Char"/>
    <w:basedOn w:val="DefaultParagraphFont"/>
    <w:link w:val="Subtitle"/>
    <w:uiPriority w:val="9"/>
    <w:rsid w:val="007A4185"/>
    <w:rPr>
      <w:rFonts w:ascii="Calibri" w:eastAsiaTheme="majorEastAsia" w:hAnsi="Calibri" w:cstheme="majorBidi"/>
      <w:b/>
      <w:iCs/>
      <w:color w:val="000000" w:themeColor="text1"/>
      <w:szCs w:val="24"/>
    </w:rPr>
  </w:style>
  <w:style w:type="table" w:styleId="TableGrid">
    <w:name w:val="Table Grid"/>
    <w:basedOn w:val="TableNormal"/>
    <w:uiPriority w:val="59"/>
    <w:rsid w:val="007A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A4185"/>
    <w:pPr>
      <w:tabs>
        <w:tab w:val="left" w:pos="3402"/>
        <w:tab w:val="right" w:leader="dot" w:pos="9639"/>
      </w:tabs>
      <w:spacing w:line="400" w:lineRule="exact"/>
      <w:ind w:left="3402" w:hanging="992"/>
    </w:pPr>
    <w:rPr>
      <w:noProof/>
    </w:rPr>
  </w:style>
  <w:style w:type="paragraph" w:customStyle="1" w:styleId="Tabletitle">
    <w:name w:val="Table title"/>
    <w:qFormat/>
    <w:rsid w:val="007A4185"/>
    <w:pPr>
      <w:keepNext/>
      <w:numPr>
        <w:numId w:val="15"/>
      </w:numPr>
      <w:pBdr>
        <w:top w:val="single" w:sz="4" w:space="1" w:color="7F7F7F" w:themeColor="text1" w:themeTint="80"/>
      </w:pBdr>
      <w:spacing w:before="480" w:after="120" w:line="220" w:lineRule="atLeast"/>
    </w:pPr>
    <w:rPr>
      <w:rFonts w:ascii="Calibri" w:hAnsi="Calibri" w:cstheme="minorHAnsi"/>
      <w:b/>
      <w:iCs/>
      <w:color w:val="000000" w:themeColor="text1"/>
      <w:sz w:val="20"/>
      <w:szCs w:val="20"/>
    </w:rPr>
  </w:style>
  <w:style w:type="paragraph" w:styleId="Title">
    <w:name w:val="Title"/>
    <w:basedOn w:val="Normal"/>
    <w:next w:val="Normal"/>
    <w:link w:val="TitleChar"/>
    <w:uiPriority w:val="5"/>
    <w:rsid w:val="007A4185"/>
    <w:pPr>
      <w:pBdr>
        <w:bottom w:val="single" w:sz="4" w:space="12" w:color="auto"/>
      </w:pBdr>
      <w:spacing w:before="1080" w:line="600" w:lineRule="exact"/>
      <w:ind w:left="2410"/>
    </w:pPr>
    <w:rPr>
      <w:rFonts w:cstheme="minorHAnsi"/>
      <w:sz w:val="60"/>
      <w:szCs w:val="52"/>
    </w:rPr>
  </w:style>
  <w:style w:type="character" w:customStyle="1" w:styleId="TitleChar">
    <w:name w:val="Title Char"/>
    <w:basedOn w:val="DefaultParagraphFont"/>
    <w:link w:val="Title"/>
    <w:uiPriority w:val="5"/>
    <w:rsid w:val="007A4185"/>
    <w:rPr>
      <w:rFonts w:ascii="Calibri" w:hAnsi="Calibri" w:cstheme="minorHAnsi"/>
      <w:color w:val="000000" w:themeColor="text1"/>
      <w:sz w:val="60"/>
      <w:szCs w:val="52"/>
    </w:rPr>
  </w:style>
  <w:style w:type="paragraph" w:styleId="TOC1">
    <w:name w:val="toc 1"/>
    <w:basedOn w:val="Normal"/>
    <w:next w:val="Normal"/>
    <w:autoRedefine/>
    <w:uiPriority w:val="39"/>
    <w:unhideWhenUsed/>
    <w:rsid w:val="007A4185"/>
    <w:pPr>
      <w:tabs>
        <w:tab w:val="right" w:leader="dot" w:pos="9629"/>
      </w:tabs>
      <w:spacing w:after="120"/>
      <w:ind w:left="2410"/>
    </w:pPr>
    <w:rPr>
      <w:rFonts w:cs="Arial"/>
      <w:noProof/>
    </w:rPr>
  </w:style>
  <w:style w:type="paragraph" w:styleId="TOC2">
    <w:name w:val="toc 2"/>
    <w:basedOn w:val="TOC1"/>
    <w:next w:val="Normal"/>
    <w:autoRedefine/>
    <w:uiPriority w:val="39"/>
    <w:unhideWhenUsed/>
    <w:rsid w:val="007A4185"/>
    <w:pPr>
      <w:tabs>
        <w:tab w:val="left" w:pos="3261"/>
      </w:tabs>
      <w:spacing w:after="60"/>
      <w:ind w:left="3261" w:hanging="426"/>
    </w:pPr>
    <w:rPr>
      <w:b/>
    </w:rPr>
  </w:style>
  <w:style w:type="paragraph" w:styleId="TOC3">
    <w:name w:val="toc 3"/>
    <w:basedOn w:val="TableofFigures"/>
    <w:next w:val="Normal"/>
    <w:autoRedefine/>
    <w:uiPriority w:val="19"/>
    <w:unhideWhenUsed/>
    <w:rsid w:val="007A4185"/>
    <w:pPr>
      <w:tabs>
        <w:tab w:val="clear" w:pos="3402"/>
        <w:tab w:val="left" w:pos="3544"/>
      </w:tabs>
      <w:ind w:left="3544" w:hanging="1134"/>
    </w:pPr>
  </w:style>
  <w:style w:type="paragraph" w:styleId="TOCHeading">
    <w:name w:val="TOC Heading"/>
    <w:basedOn w:val="Heading1"/>
    <w:next w:val="Normal"/>
    <w:uiPriority w:val="9"/>
    <w:unhideWhenUsed/>
    <w:qFormat/>
    <w:rsid w:val="007A4185"/>
    <w:pPr>
      <w:keepNext/>
      <w:keepLines/>
      <w:pageBreakBefore w:val="0"/>
      <w:autoSpaceDE/>
      <w:autoSpaceDN/>
      <w:adjustRightInd/>
      <w:spacing w:before="480" w:line="276" w:lineRule="auto"/>
      <w:ind w:left="0" w:firstLine="0"/>
      <w:outlineLvl w:val="9"/>
    </w:pPr>
    <w:rPr>
      <w:rFonts w:eastAsiaTheme="majorEastAsia" w:cstheme="majorBidi"/>
      <w:b/>
      <w:bCs/>
      <w:color w:val="365F91" w:themeColor="accent1" w:themeShade="BF"/>
      <w:sz w:val="28"/>
      <w:szCs w:val="28"/>
      <w:lang w:val="en-US"/>
    </w:rPr>
  </w:style>
  <w:style w:type="paragraph" w:customStyle="1" w:styleId="Version">
    <w:name w:val="Version"/>
    <w:basedOn w:val="Normal"/>
    <w:rsid w:val="007A4185"/>
    <w:pPr>
      <w:spacing w:before="840" w:line="360" w:lineRule="exact"/>
      <w:ind w:left="2410"/>
    </w:pPr>
    <w:rPr>
      <w:rFonts w:asciiTheme="minorHAnsi" w:hAnsiTheme="minorHAnsi" w:cstheme="minorHAnsi"/>
      <w:color w:val="666666"/>
      <w:sz w:val="28"/>
      <w:szCs w:val="30"/>
    </w:rPr>
  </w:style>
  <w:style w:type="table" w:customStyle="1" w:styleId="Vividtable">
    <w:name w:val="Vivid table"/>
    <w:basedOn w:val="TableNormal"/>
    <w:uiPriority w:val="99"/>
    <w:rsid w:val="007A4185"/>
    <w:pPr>
      <w:spacing w:after="0" w:line="240" w:lineRule="auto"/>
    </w:pPr>
    <w:rPr>
      <w:sz w:val="18"/>
    </w:rPr>
    <w:tblPr>
      <w:tblStyleRowBandSize w:val="1"/>
    </w:tblPr>
    <w:tcPr>
      <w:vAlign w:val="center"/>
    </w:tcPr>
    <w:tblStylePr w:type="firstRow">
      <w:rPr>
        <w:rFonts w:asciiTheme="minorHAnsi" w:hAnsiTheme="minorHAnsi"/>
        <w:b/>
        <w:sz w:val="18"/>
      </w:rPr>
    </w:tblStylePr>
    <w:tblStylePr w:type="band1Horz">
      <w:tblPr/>
      <w:tcPr>
        <w:shd w:val="clear" w:color="auto" w:fill="DDDDDD"/>
      </w:tcPr>
    </w:tblStylePr>
  </w:style>
  <w:style w:type="paragraph" w:styleId="CommentSubject">
    <w:name w:val="annotation subject"/>
    <w:basedOn w:val="CommentText"/>
    <w:next w:val="CommentText"/>
    <w:link w:val="CommentSubjectChar"/>
    <w:uiPriority w:val="99"/>
    <w:semiHidden/>
    <w:unhideWhenUsed/>
    <w:rsid w:val="007A5165"/>
    <w:rPr>
      <w:b/>
      <w:bCs/>
    </w:rPr>
  </w:style>
  <w:style w:type="character" w:customStyle="1" w:styleId="CommentSubjectChar">
    <w:name w:val="Comment Subject Char"/>
    <w:basedOn w:val="CommentTextChar"/>
    <w:link w:val="CommentSubject"/>
    <w:uiPriority w:val="99"/>
    <w:semiHidden/>
    <w:rsid w:val="007A5165"/>
    <w:rPr>
      <w:rFonts w:ascii="Calibri" w:hAnsi="Calibri"/>
      <w:b/>
      <w:bCs/>
      <w:color w:val="000000" w:themeColor="text1"/>
      <w:sz w:val="20"/>
      <w:szCs w:val="20"/>
    </w:rPr>
  </w:style>
  <w:style w:type="character" w:styleId="UnresolvedMention">
    <w:name w:val="Unresolved Mention"/>
    <w:basedOn w:val="DefaultParagraphFont"/>
    <w:uiPriority w:val="99"/>
    <w:semiHidden/>
    <w:unhideWhenUsed/>
    <w:rsid w:val="00C20C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vivideconomics.sharepoint.com/:b:/s/projects/171211HSB/EfQIiMufufFKokDuydhxq38BGML_f2NxlSZ6mdYtmAh7vA?e=NGBSFp"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vivideconomics.sharepoint.com/:p:/s/projects/171211HSB/EXfp0kqSt_pCiOgeIbXexRABO70jDYH5-Tyvstmx-cLJiA?e=0nZL2x"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vivideconomics.sharepoint.com/:p:/s/projects/171211HSB/EXfp0kqSt_pCiOgeIbXexRABO70jDYH5-Tyvstmx-cLJiA?e=0nZL2x"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vivideconomics.sharepoint.com/sites/projects/templates/Shared%20Documents/Note%202017%20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458A34C1B804487783B2D6E744E74" ma:contentTypeVersion="8" ma:contentTypeDescription="Create a new document." ma:contentTypeScope="" ma:versionID="db55914762f75c69a3f428beb16e5e78">
  <xsd:schema xmlns:xsd="http://www.w3.org/2001/XMLSchema" xmlns:xs="http://www.w3.org/2001/XMLSchema" xmlns:p="http://schemas.microsoft.com/office/2006/metadata/properties" xmlns:ns2="b5fc07e1-684f-42dd-a9b9-4a385070eb2f" xmlns:ns3="40da89ef-49c0-40fe-8775-bed27f6d4e3e" targetNamespace="http://schemas.microsoft.com/office/2006/metadata/properties" ma:root="true" ma:fieldsID="3788be5c6e889f205c249745f37b3686" ns2:_="" ns3:_="">
    <xsd:import namespace="b5fc07e1-684f-42dd-a9b9-4a385070eb2f"/>
    <xsd:import namespace="40da89ef-49c0-40fe-8775-bed27f6d4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07e1-684f-42dd-a9b9-4a385070e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a89ef-49c0-40fe-8775-bed27f6d4e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AFBD-3390-4A90-9E5E-0DDD3B435FFA}">
  <ds:schemaRefs>
    <ds:schemaRef ds:uri="http://schemas.openxmlformats.org/package/2006/metadata/core-properties"/>
    <ds:schemaRef ds:uri="b5fc07e1-684f-42dd-a9b9-4a385070eb2f"/>
    <ds:schemaRef ds:uri="http://schemas.microsoft.com/office/2006/documentManagement/types"/>
    <ds:schemaRef ds:uri="http://purl.org/dc/term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477A4AC-2416-4230-B69E-CAE7776E2A02}"/>
</file>

<file path=customXml/itemProps3.xml><?xml version="1.0" encoding="utf-8"?>
<ds:datastoreItem xmlns:ds="http://schemas.openxmlformats.org/officeDocument/2006/customXml" ds:itemID="{2FBC6A27-504B-4815-9ABD-54C59B3DE4C8}">
  <ds:schemaRefs>
    <ds:schemaRef ds:uri="http://schemas.microsoft.com/sharepoint/v3/contenttype/forms"/>
  </ds:schemaRefs>
</ds:datastoreItem>
</file>

<file path=customXml/itemProps4.xml><?xml version="1.0" encoding="utf-8"?>
<ds:datastoreItem xmlns:ds="http://schemas.openxmlformats.org/officeDocument/2006/customXml" ds:itemID="{4424CE28-46A2-443F-8F9F-1E1BF246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Note%202017%2012</Template>
  <TotalTime>0</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Shyamal</dc:creator>
  <cp:lastModifiedBy>Shyamal Patel</cp:lastModifiedBy>
  <cp:revision>10</cp:revision>
  <dcterms:created xsi:type="dcterms:W3CDTF">2018-03-09T12:08:00Z</dcterms:created>
  <dcterms:modified xsi:type="dcterms:W3CDTF">2018-03-09T12:28:00Z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0x01010071A458A34C1B804487783B2D6E744E74</vt:lpwstr>
  </property>
</Properties>
</file>