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E861" w14:textId="159D3FDF" w:rsidR="002C2240" w:rsidRDefault="00E55B9A" w:rsidP="008F45E5">
      <w:pPr>
        <w:pStyle w:val="Heading1"/>
        <w:numPr>
          <w:ilvl w:val="0"/>
          <w:numId w:val="0"/>
        </w:numPr>
      </w:pPr>
      <w:r>
        <w:t xml:space="preserve">Technical note on </w:t>
      </w:r>
      <w:r w:rsidR="00A604E9">
        <w:t>‘</w:t>
      </w:r>
      <w:r>
        <w:t>g</w:t>
      </w:r>
      <w:r w:rsidR="00B502E6">
        <w:t>reen upside</w:t>
      </w:r>
      <w:r w:rsidR="00A604E9">
        <w:t>’</w:t>
      </w:r>
      <w:r w:rsidR="00B502E6">
        <w:t xml:space="preserve"> </w:t>
      </w:r>
      <w:r>
        <w:t xml:space="preserve">model </w:t>
      </w:r>
      <w:r w:rsidRPr="00985E14">
        <w:rPr>
          <w:color w:val="FF0000"/>
        </w:rPr>
        <w:t>[internal use only</w:t>
      </w:r>
      <w:r w:rsidR="008F45E5" w:rsidRPr="00985E14">
        <w:rPr>
          <w:color w:val="FF0000"/>
        </w:rPr>
        <w:t>]</w:t>
      </w:r>
    </w:p>
    <w:p w14:paraId="56696E48" w14:textId="06953715" w:rsidR="00E55B9A" w:rsidRPr="006174A7" w:rsidRDefault="00031BFD" w:rsidP="00094D3B">
      <w:pPr>
        <w:rPr>
          <w:b/>
          <w:color w:val="auto"/>
        </w:rPr>
      </w:pPr>
      <w:r>
        <w:rPr>
          <w:b/>
        </w:rPr>
        <w:t xml:space="preserve">This note sets out the </w:t>
      </w:r>
      <w:r w:rsidR="00A604E9">
        <w:rPr>
          <w:b/>
        </w:rPr>
        <w:t>‘</w:t>
      </w:r>
      <w:r>
        <w:rPr>
          <w:b/>
        </w:rPr>
        <w:t>green upside</w:t>
      </w:r>
      <w:r w:rsidR="00A604E9">
        <w:rPr>
          <w:b/>
        </w:rPr>
        <w:t xml:space="preserve">’ </w:t>
      </w:r>
      <w:r>
        <w:rPr>
          <w:b/>
        </w:rPr>
        <w:t xml:space="preserve">modelling methodology, </w:t>
      </w:r>
      <w:r w:rsidR="00B62E32">
        <w:rPr>
          <w:b/>
        </w:rPr>
        <w:t>used in the low carbon portfolio tool, including a mapping between available financial and green data lines, and the model.</w:t>
      </w:r>
      <w:r w:rsidR="009E3083">
        <w:rPr>
          <w:b/>
        </w:rPr>
        <w:t xml:space="preserve"> </w:t>
      </w:r>
      <w:r w:rsidR="009E3083" w:rsidRPr="006174A7">
        <w:rPr>
          <w:b/>
          <w:color w:val="auto"/>
          <w:highlight w:val="yellow"/>
        </w:rPr>
        <w:t>Please ensure this note reflects the latest green upside modelling methodology before review (date of last edit in filename).</w:t>
      </w:r>
    </w:p>
    <w:p w14:paraId="478E55B0" w14:textId="3A7A2485" w:rsidR="008B0281" w:rsidRDefault="008B0281" w:rsidP="00094D3B">
      <w:pPr>
        <w:rPr>
          <w:b/>
        </w:rPr>
      </w:pPr>
    </w:p>
    <w:p w14:paraId="7AD7C526" w14:textId="73A8C526" w:rsidR="008B0281" w:rsidRDefault="008B0281" w:rsidP="00094D3B">
      <w:pPr>
        <w:rPr>
          <w:b/>
        </w:rPr>
      </w:pPr>
      <w:r>
        <w:rPr>
          <w:b/>
        </w:rPr>
        <w:t>This note is structured as follows:</w:t>
      </w:r>
    </w:p>
    <w:p w14:paraId="698C37A4" w14:textId="7B32CECE" w:rsidR="008B0281" w:rsidRDefault="008B0281" w:rsidP="008B0281">
      <w:pPr>
        <w:pStyle w:val="ListParagraph"/>
        <w:numPr>
          <w:ilvl w:val="0"/>
          <w:numId w:val="17"/>
        </w:numPr>
      </w:pPr>
      <w:r w:rsidRPr="008B0281">
        <w:t xml:space="preserve">Section </w:t>
      </w:r>
      <w:r>
        <w:fldChar w:fldCharType="begin"/>
      </w:r>
      <w:r>
        <w:instrText xml:space="preserve"> REF _Ref508360332 \r \h </w:instrText>
      </w:r>
      <w:r>
        <w:fldChar w:fldCharType="separate"/>
      </w:r>
      <w:r>
        <w:t>1.1.1</w:t>
      </w:r>
      <w:r>
        <w:fldChar w:fldCharType="end"/>
      </w:r>
      <w:r>
        <w:t xml:space="preserve"> provides </w:t>
      </w:r>
      <w:r w:rsidR="00945DDC">
        <w:t xml:space="preserve">the motivation for, and a </w:t>
      </w:r>
      <w:r>
        <w:t xml:space="preserve">brief summary of the green upside </w:t>
      </w:r>
      <w:r w:rsidR="00945DDC">
        <w:t>model</w:t>
      </w:r>
    </w:p>
    <w:p w14:paraId="79B6F41A" w14:textId="6237A5FF" w:rsidR="002A09B5" w:rsidRDefault="008B0281" w:rsidP="008B0281">
      <w:pPr>
        <w:pStyle w:val="ListParagraph"/>
        <w:numPr>
          <w:ilvl w:val="0"/>
          <w:numId w:val="17"/>
        </w:numPr>
      </w:pPr>
      <w:r>
        <w:t xml:space="preserve">Section </w:t>
      </w:r>
      <w:r w:rsidR="00FA431B">
        <w:fldChar w:fldCharType="begin"/>
      </w:r>
      <w:r w:rsidR="00FA431B">
        <w:instrText xml:space="preserve"> REF _Ref508360568 \r \h </w:instrText>
      </w:r>
      <w:r w:rsidR="00FA431B">
        <w:fldChar w:fldCharType="separate"/>
      </w:r>
      <w:r w:rsidR="00FA431B">
        <w:t>1.1.2</w:t>
      </w:r>
      <w:r w:rsidR="00FA431B">
        <w:fldChar w:fldCharType="end"/>
      </w:r>
      <w:r>
        <w:t xml:space="preserve"> </w:t>
      </w:r>
      <w:r w:rsidR="002A09B5">
        <w:t>sets out the full modelling methodology for the green upside tool</w:t>
      </w:r>
    </w:p>
    <w:p w14:paraId="2CA03B71" w14:textId="5CCE2540" w:rsidR="008B0281" w:rsidRDefault="002A09B5" w:rsidP="008B0281">
      <w:pPr>
        <w:pStyle w:val="ListParagraph"/>
        <w:numPr>
          <w:ilvl w:val="0"/>
          <w:numId w:val="17"/>
        </w:numPr>
      </w:pPr>
      <w:r>
        <w:t xml:space="preserve">Section </w:t>
      </w:r>
      <w:r w:rsidR="00FA431B">
        <w:fldChar w:fldCharType="begin"/>
      </w:r>
      <w:r w:rsidR="00FA431B">
        <w:instrText xml:space="preserve"> REF _Ref508360577 \r \h </w:instrText>
      </w:r>
      <w:r w:rsidR="00FA431B">
        <w:fldChar w:fldCharType="separate"/>
      </w:r>
      <w:r w:rsidR="00FA431B">
        <w:t>1.1.3</w:t>
      </w:r>
      <w:r w:rsidR="00FA431B">
        <w:fldChar w:fldCharType="end"/>
      </w:r>
      <w:r>
        <w:t xml:space="preserve"> </w:t>
      </w:r>
      <w:r w:rsidR="001174B6">
        <w:t xml:space="preserve">is an outline of the </w:t>
      </w:r>
      <w:r w:rsidR="000D117D">
        <w:t xml:space="preserve">steps used in the </w:t>
      </w:r>
      <w:r w:rsidR="003E090B">
        <w:t>model</w:t>
      </w:r>
      <w:r w:rsidR="009F1B5F">
        <w:t xml:space="preserve"> </w:t>
      </w:r>
      <w:r w:rsidR="009F1B5F" w:rsidRPr="009F1B5F">
        <w:rPr>
          <w:highlight w:val="yellow"/>
        </w:rPr>
        <w:t>(TBC)</w:t>
      </w:r>
    </w:p>
    <w:p w14:paraId="21B436A1" w14:textId="77777777" w:rsidR="00F80B2D" w:rsidRPr="008B0281" w:rsidRDefault="00F80B2D" w:rsidP="00F80B2D"/>
    <w:p w14:paraId="2A9CB259" w14:textId="4C521D83" w:rsidR="007E1EF4" w:rsidRDefault="0004087E" w:rsidP="00E55B9A">
      <w:pPr>
        <w:pStyle w:val="Heading3"/>
        <w:ind w:left="709"/>
      </w:pPr>
      <w:r>
        <w:t>Abstract</w:t>
      </w:r>
    </w:p>
    <w:p w14:paraId="3A7C13DD" w14:textId="4270E7A4" w:rsidR="00EC25E2" w:rsidRDefault="0079259E" w:rsidP="007E1EF4">
      <w:r w:rsidRPr="00E20051">
        <w:rPr>
          <w:b/>
        </w:rPr>
        <w:t xml:space="preserve">The </w:t>
      </w:r>
      <w:r w:rsidR="00A604E9">
        <w:rPr>
          <w:b/>
        </w:rPr>
        <w:t>‘</w:t>
      </w:r>
      <w:r w:rsidRPr="00E20051">
        <w:rPr>
          <w:b/>
        </w:rPr>
        <w:t>green upside</w:t>
      </w:r>
      <w:r w:rsidR="00A604E9">
        <w:rPr>
          <w:b/>
        </w:rPr>
        <w:t>’</w:t>
      </w:r>
      <w:r w:rsidRPr="00E20051">
        <w:rPr>
          <w:b/>
        </w:rPr>
        <w:t xml:space="preserve"> is</w:t>
      </w:r>
      <w:r w:rsidR="00562E41" w:rsidRPr="00E20051">
        <w:rPr>
          <w:b/>
        </w:rPr>
        <w:t xml:space="preserve"> </w:t>
      </w:r>
      <w:r w:rsidR="00724946" w:rsidRPr="00E20051">
        <w:rPr>
          <w:b/>
        </w:rPr>
        <w:t>a</w:t>
      </w:r>
      <w:r w:rsidR="006C0EE6">
        <w:rPr>
          <w:b/>
        </w:rPr>
        <w:t xml:space="preserve">n important </w:t>
      </w:r>
      <w:r w:rsidR="00E20051" w:rsidRPr="00E20051">
        <w:rPr>
          <w:b/>
        </w:rPr>
        <w:t xml:space="preserve">feature </w:t>
      </w:r>
      <w:r w:rsidR="006C0EE6">
        <w:rPr>
          <w:b/>
        </w:rPr>
        <w:t xml:space="preserve">of climate policy scenarios </w:t>
      </w:r>
      <w:r w:rsidR="00E20051" w:rsidRPr="00E20051">
        <w:rPr>
          <w:b/>
        </w:rPr>
        <w:t xml:space="preserve">which is often omitted </w:t>
      </w:r>
      <w:r w:rsidR="000919ED">
        <w:rPr>
          <w:b/>
        </w:rPr>
        <w:t xml:space="preserve">by </w:t>
      </w:r>
      <w:r w:rsidR="00E20051" w:rsidRPr="00E20051">
        <w:rPr>
          <w:b/>
        </w:rPr>
        <w:t xml:space="preserve">attempts to quantify </w:t>
      </w:r>
      <w:r w:rsidR="00974942">
        <w:rPr>
          <w:b/>
        </w:rPr>
        <w:t>the financial impacts of 2DS</w:t>
      </w:r>
      <w:r w:rsidR="00E20051" w:rsidRPr="00E20051">
        <w:rPr>
          <w:b/>
        </w:rPr>
        <w:t>.</w:t>
      </w:r>
      <w:r w:rsidR="00E20051" w:rsidRPr="00E20051">
        <w:t xml:space="preserve"> </w:t>
      </w:r>
      <w:r w:rsidR="00297ECC">
        <w:t xml:space="preserve">The ‘green upside’ approach </w:t>
      </w:r>
      <w:r w:rsidR="009A66F5">
        <w:t xml:space="preserve">complements </w:t>
      </w:r>
      <w:r w:rsidR="00AA77E7">
        <w:t xml:space="preserve">the profit impact valuation tool, by </w:t>
      </w:r>
      <w:r w:rsidR="00297ECC">
        <w:t xml:space="preserve">modelling climate policy </w:t>
      </w:r>
      <w:r w:rsidR="00EB03BF">
        <w:t>upside potential,</w:t>
      </w:r>
      <w:r w:rsidR="008257FD">
        <w:t xml:space="preserve"> </w:t>
      </w:r>
      <w:r w:rsidR="00633271">
        <w:t xml:space="preserve">beyond low </w:t>
      </w:r>
      <w:r w:rsidR="008257FD">
        <w:t>emissions intensity</w:t>
      </w:r>
      <w:r w:rsidR="00EC25E2">
        <w:t>:</w:t>
      </w:r>
    </w:p>
    <w:p w14:paraId="2D78DD0F" w14:textId="178B3F9F" w:rsidR="00EC25E2" w:rsidRDefault="0049270D" w:rsidP="00EC25E2">
      <w:pPr>
        <w:pStyle w:val="ListParagraph"/>
        <w:numPr>
          <w:ilvl w:val="0"/>
          <w:numId w:val="17"/>
        </w:numPr>
      </w:pPr>
      <w:r>
        <w:t xml:space="preserve">Producers of </w:t>
      </w:r>
      <w:r w:rsidR="00D4260B">
        <w:t xml:space="preserve">goods and technologies </w:t>
      </w:r>
      <w:r w:rsidR="00297ECC">
        <w:t xml:space="preserve">involved in the low carbon transition </w:t>
      </w:r>
      <w:r>
        <w:t xml:space="preserve">will </w:t>
      </w:r>
      <w:r w:rsidRPr="00EC25E2">
        <w:rPr>
          <w:b/>
        </w:rPr>
        <w:t>benefit</w:t>
      </w:r>
      <w:r>
        <w:t xml:space="preserve"> </w:t>
      </w:r>
      <w:r w:rsidR="00B26849" w:rsidRPr="00EC25E2">
        <w:rPr>
          <w:b/>
        </w:rPr>
        <w:t>indirectly</w:t>
      </w:r>
      <w:r w:rsidR="00B26849">
        <w:t xml:space="preserve"> </w:t>
      </w:r>
      <w:r>
        <w:t xml:space="preserve">from </w:t>
      </w:r>
      <w:r w:rsidR="00D463F0">
        <w:t xml:space="preserve">carbon pricing </w:t>
      </w:r>
      <w:r>
        <w:t>polic</w:t>
      </w:r>
      <w:r w:rsidR="00D463F0">
        <w:t>ies</w:t>
      </w:r>
      <w:r>
        <w:t xml:space="preserve"> </w:t>
      </w:r>
      <w:r w:rsidR="0048140B">
        <w:t xml:space="preserve">through </w:t>
      </w:r>
      <w:r w:rsidR="0048140B" w:rsidRPr="00B151C7">
        <w:rPr>
          <w:b/>
        </w:rPr>
        <w:t>higher demand</w:t>
      </w:r>
      <w:r w:rsidR="0048140B">
        <w:t xml:space="preserve"> for their products</w:t>
      </w:r>
      <w:r w:rsidR="00EC25E2">
        <w:t>;</w:t>
      </w:r>
    </w:p>
    <w:p w14:paraId="61D671C4" w14:textId="23539322" w:rsidR="008412D8" w:rsidRDefault="00FA5D60" w:rsidP="00EC25E2">
      <w:pPr>
        <w:pStyle w:val="ListParagraph"/>
        <w:numPr>
          <w:ilvl w:val="0"/>
          <w:numId w:val="17"/>
        </w:numPr>
      </w:pPr>
      <w:r>
        <w:t xml:space="preserve">For instance, </w:t>
      </w:r>
      <w:r w:rsidR="001E0A0F">
        <w:t xml:space="preserve">in the renewable energy equipment sector, </w:t>
      </w:r>
      <w:r>
        <w:t xml:space="preserve">wind turbine and solar panel manufacturers will </w:t>
      </w:r>
      <w:r w:rsidR="00276F72">
        <w:t xml:space="preserve">face higher demand </w:t>
      </w:r>
      <w:r w:rsidR="002F48E3">
        <w:t xml:space="preserve">in </w:t>
      </w:r>
      <w:r w:rsidR="00BB5FF4">
        <w:t>a 2DS world than under business as usual</w:t>
      </w:r>
      <w:r w:rsidR="00303CD6">
        <w:t>;</w:t>
      </w:r>
    </w:p>
    <w:p w14:paraId="4D4181FF" w14:textId="65F6CA04" w:rsidR="00B151C7" w:rsidRDefault="00B151C7" w:rsidP="008412D8">
      <w:pPr>
        <w:pStyle w:val="ListParagraph"/>
        <w:numPr>
          <w:ilvl w:val="1"/>
          <w:numId w:val="17"/>
        </w:numPr>
      </w:pPr>
      <w:r>
        <w:t>To curb CO</w:t>
      </w:r>
      <w:r>
        <w:rPr>
          <w:vertAlign w:val="subscript"/>
        </w:rPr>
        <w:t>2</w:t>
      </w:r>
      <w:r>
        <w:t xml:space="preserve"> emissions while meeting demand for power from a </w:t>
      </w:r>
      <w:r w:rsidR="00B9645C">
        <w:t>rising population, power producers will need to deploy more low carbon generation capacity</w:t>
      </w:r>
    </w:p>
    <w:p w14:paraId="144881B5" w14:textId="624919B5" w:rsidR="00303CD6" w:rsidRDefault="00B61494" w:rsidP="008412D8">
      <w:pPr>
        <w:pStyle w:val="ListParagraph"/>
        <w:numPr>
          <w:ilvl w:val="1"/>
          <w:numId w:val="17"/>
        </w:numPr>
      </w:pPr>
      <w:r>
        <w:t xml:space="preserve">This </w:t>
      </w:r>
      <w:r w:rsidR="00B9645C">
        <w:t xml:space="preserve">will include </w:t>
      </w:r>
      <w:r w:rsidR="00BB5FF4">
        <w:t>greater wind and solar deployment</w:t>
      </w:r>
      <w:r w:rsidR="00303CD6">
        <w:t>;</w:t>
      </w:r>
    </w:p>
    <w:p w14:paraId="1E26199C" w14:textId="0CCF835D" w:rsidR="00FA5D60" w:rsidRDefault="001E0A0F" w:rsidP="008412D8">
      <w:pPr>
        <w:pStyle w:val="ListParagraph"/>
        <w:numPr>
          <w:ilvl w:val="1"/>
          <w:numId w:val="17"/>
        </w:numPr>
      </w:pPr>
      <w:r>
        <w:t>Similar</w:t>
      </w:r>
      <w:r w:rsidR="00F638BA">
        <w:t xml:space="preserve"> </w:t>
      </w:r>
      <w:r w:rsidR="00A604E9">
        <w:t xml:space="preserve">arguments can be made for </w:t>
      </w:r>
      <w:r w:rsidR="00297ECC">
        <w:t xml:space="preserve">many other </w:t>
      </w:r>
      <w:r w:rsidR="00A604E9">
        <w:t xml:space="preserve">sectors, </w:t>
      </w:r>
      <w:r w:rsidR="00297ECC">
        <w:t xml:space="preserve">as </w:t>
      </w:r>
      <w:r w:rsidR="00A604E9">
        <w:t xml:space="preserve">set out in </w:t>
      </w:r>
      <w:r w:rsidR="005D6724">
        <w:rPr>
          <w:highlight w:val="yellow"/>
        </w:rPr>
        <w:fldChar w:fldCharType="begin"/>
      </w:r>
      <w:r w:rsidR="005D6724">
        <w:instrText xml:space="preserve"> REF _Ref508373894 \r \h </w:instrText>
      </w:r>
      <w:r w:rsidR="005D6724">
        <w:rPr>
          <w:highlight w:val="yellow"/>
        </w:rPr>
      </w:r>
      <w:r w:rsidR="005D6724">
        <w:rPr>
          <w:highlight w:val="yellow"/>
        </w:rPr>
        <w:fldChar w:fldCharType="separate"/>
      </w:r>
      <w:r w:rsidR="005D6724">
        <w:t>Table 1</w:t>
      </w:r>
      <w:r w:rsidR="005D6724">
        <w:rPr>
          <w:highlight w:val="yellow"/>
        </w:rPr>
        <w:fldChar w:fldCharType="end"/>
      </w:r>
      <w:r w:rsidR="00A55EA8">
        <w:t>.</w:t>
      </w:r>
    </w:p>
    <w:p w14:paraId="424A96A9" w14:textId="7ABDFBBD" w:rsidR="007E1EF4" w:rsidRDefault="00CB131B" w:rsidP="00EC25E2">
      <w:pPr>
        <w:pStyle w:val="ListParagraph"/>
        <w:numPr>
          <w:ilvl w:val="0"/>
          <w:numId w:val="17"/>
        </w:numPr>
      </w:pPr>
      <w:r>
        <w:t xml:space="preserve">The ‘green upside’ </w:t>
      </w:r>
      <w:r w:rsidR="000E3BB5">
        <w:t xml:space="preserve">impacts are analogous to </w:t>
      </w:r>
      <w:r w:rsidR="0050639E">
        <w:t xml:space="preserve">oil and gas demand destruction </w:t>
      </w:r>
      <w:r w:rsidR="000E3BB5">
        <w:t xml:space="preserve">impacts </w:t>
      </w:r>
      <w:r w:rsidR="0050639E">
        <w:t xml:space="preserve">– </w:t>
      </w:r>
      <w:r w:rsidR="00C94E01">
        <w:t xml:space="preserve">in </w:t>
      </w:r>
      <w:r w:rsidR="000E3BB5">
        <w:t xml:space="preserve">the latter </w:t>
      </w:r>
      <w:r w:rsidR="00C94E01">
        <w:t>case</w:t>
      </w:r>
      <w:r w:rsidR="0050639E">
        <w:t xml:space="preserve">, </w:t>
      </w:r>
      <w:r w:rsidR="0034501D">
        <w:t xml:space="preserve">companies were </w:t>
      </w:r>
      <w:r w:rsidR="0050639E">
        <w:t xml:space="preserve">indirectly </w:t>
      </w:r>
      <w:r w:rsidR="0034501D">
        <w:t xml:space="preserve">affected by </w:t>
      </w:r>
      <w:r w:rsidR="0050639E">
        <w:t xml:space="preserve">a contraction in demand </w:t>
      </w:r>
      <w:r w:rsidR="0034501D">
        <w:t>for their products</w:t>
      </w:r>
      <w:r w:rsidR="00C24BD8">
        <w:t>;</w:t>
      </w:r>
    </w:p>
    <w:p w14:paraId="41A62C03" w14:textId="41ECE18D" w:rsidR="00F7087E" w:rsidRDefault="009B6187" w:rsidP="00F7087E">
      <w:pPr>
        <w:pStyle w:val="ListParagraph"/>
        <w:numPr>
          <w:ilvl w:val="0"/>
          <w:numId w:val="17"/>
        </w:numPr>
      </w:pPr>
      <w:r>
        <w:t>These impacts will vary across 2DS scenarios</w:t>
      </w:r>
      <w:r w:rsidR="00F7087E">
        <w:t>, for instance, wind turbine manufacturers will perform better in a renewable-led 2DS scenario, than in a CCS-led 2DS scenario;</w:t>
      </w:r>
    </w:p>
    <w:p w14:paraId="49E03FCD" w14:textId="41498EDD" w:rsidR="00F43E3C" w:rsidRPr="00E20051" w:rsidRDefault="00F43E3C" w:rsidP="00EC25E2">
      <w:pPr>
        <w:pStyle w:val="ListParagraph"/>
        <w:numPr>
          <w:ilvl w:val="0"/>
          <w:numId w:val="17"/>
        </w:numPr>
      </w:pPr>
      <w:r>
        <w:t xml:space="preserve">The profit impact valuation tool does not capture </w:t>
      </w:r>
      <w:r w:rsidR="00542FE9">
        <w:t xml:space="preserve">this </w:t>
      </w:r>
      <w:r>
        <w:t>‘green upside’ potential, as it is not reflected in company CO</w:t>
      </w:r>
      <w:r>
        <w:rPr>
          <w:vertAlign w:val="subscript"/>
        </w:rPr>
        <w:t>2</w:t>
      </w:r>
      <w:r>
        <w:t xml:space="preserve"> emissions, or oil and gas demand destruction.</w:t>
      </w:r>
    </w:p>
    <w:p w14:paraId="7AE65A94" w14:textId="722DE06A" w:rsidR="00B502E6" w:rsidRDefault="00B502E6" w:rsidP="007E1EF4"/>
    <w:p w14:paraId="65073E10" w14:textId="5F506BF4" w:rsidR="00B502E6" w:rsidRDefault="001174B6" w:rsidP="00AF6EB8">
      <w:pPr>
        <w:pStyle w:val="Heading3"/>
      </w:pPr>
      <w:bookmarkStart w:id="0" w:name="_Ref508360568"/>
      <w:r>
        <w:t>Green upside methodology</w:t>
      </w:r>
      <w:bookmarkEnd w:id="0"/>
    </w:p>
    <w:p w14:paraId="13B84468" w14:textId="5B437313" w:rsidR="00D2013D" w:rsidRPr="00D93DFB" w:rsidRDefault="00365F13" w:rsidP="00D2013D">
      <w:r w:rsidRPr="00365F13">
        <w:rPr>
          <w:b/>
          <w:highlight w:val="yellow"/>
        </w:rPr>
        <w:t>X</w:t>
      </w:r>
      <w:commentRangeStart w:id="1"/>
      <w:r w:rsidR="004618A2" w:rsidRPr="00EB2EF3">
        <w:rPr>
          <w:b/>
        </w:rPr>
        <w:t xml:space="preserve"> sectors </w:t>
      </w:r>
      <w:r w:rsidR="004916FF">
        <w:rPr>
          <w:b/>
        </w:rPr>
        <w:t xml:space="preserve">were identified as being both materially significant in the MSCI World index, and having </w:t>
      </w:r>
      <w:r w:rsidR="00EB2EF3" w:rsidRPr="00EB2EF3">
        <w:rPr>
          <w:b/>
        </w:rPr>
        <w:t>significant exposure to different climate policy scenarios</w:t>
      </w:r>
      <w:r w:rsidR="00D6509A">
        <w:rPr>
          <w:b/>
        </w:rPr>
        <w:t>.</w:t>
      </w:r>
      <w:commentRangeEnd w:id="1"/>
      <w:r w:rsidR="00324445">
        <w:rPr>
          <w:rStyle w:val="CommentReference"/>
        </w:rPr>
        <w:commentReference w:id="1"/>
      </w:r>
      <w:r w:rsidR="0000583E">
        <w:t xml:space="preserve"> The sectors identified are presented in </w:t>
      </w:r>
      <w:r w:rsidR="0000583E">
        <w:rPr>
          <w:highlight w:val="yellow"/>
        </w:rPr>
        <w:fldChar w:fldCharType="begin"/>
      </w:r>
      <w:r w:rsidR="0000583E">
        <w:instrText xml:space="preserve"> REF _Ref508373894 \r \h </w:instrText>
      </w:r>
      <w:r w:rsidR="0000583E">
        <w:rPr>
          <w:highlight w:val="yellow"/>
        </w:rPr>
      </w:r>
      <w:r w:rsidR="0000583E">
        <w:rPr>
          <w:highlight w:val="yellow"/>
        </w:rPr>
        <w:fldChar w:fldCharType="separate"/>
      </w:r>
      <w:r w:rsidR="0000583E">
        <w:t>Table 1</w:t>
      </w:r>
      <w:r w:rsidR="0000583E">
        <w:rPr>
          <w:highlight w:val="yellow"/>
        </w:rPr>
        <w:fldChar w:fldCharType="end"/>
      </w:r>
      <w:r w:rsidR="0000583E">
        <w:t>.</w:t>
      </w:r>
      <w:r w:rsidR="0000583E">
        <w:t xml:space="preserve"> </w:t>
      </w:r>
      <w:r w:rsidR="00A371FB">
        <w:t xml:space="preserve">Firms which are active in these sectors </w:t>
      </w:r>
      <w:r w:rsidR="00B94C1B">
        <w:t xml:space="preserve">are </w:t>
      </w:r>
      <w:r w:rsidR="00A371FB">
        <w:t>identified based on FTSE Russell’s Green Revenue data series</w:t>
      </w:r>
      <w:r w:rsidR="00757F30">
        <w:t>.</w:t>
      </w:r>
      <w:r w:rsidR="00FC64D5">
        <w:t xml:space="preserve"> </w:t>
      </w:r>
      <w:r w:rsidR="005274C7">
        <w:t>Their p</w:t>
      </w:r>
      <w:r w:rsidR="00C20B97">
        <w:t>rofits are</w:t>
      </w:r>
      <w:r w:rsidR="002A191B">
        <w:t xml:space="preserve"> then</w:t>
      </w:r>
      <w:r w:rsidR="00C20B97">
        <w:t xml:space="preserve"> modelled </w:t>
      </w:r>
      <w:r w:rsidR="002A191B">
        <w:t xml:space="preserve">under different climate scenarios, </w:t>
      </w:r>
      <w:r w:rsidR="00C20B97">
        <w:t>based on</w:t>
      </w:r>
      <w:r w:rsidR="00992962">
        <w:t xml:space="preserve"> </w:t>
      </w:r>
      <w:r w:rsidR="00C14D65">
        <w:t xml:space="preserve">how the sector performs, and how the firm’s </w:t>
      </w:r>
      <w:r w:rsidR="002A191B">
        <w:t xml:space="preserve">market share </w:t>
      </w:r>
      <w:r w:rsidR="00C14D65">
        <w:t>evolve</w:t>
      </w:r>
      <w:r w:rsidR="00AD2376">
        <w:t>s</w:t>
      </w:r>
      <w:r w:rsidR="00C14D65">
        <w:t xml:space="preserve"> over time.</w:t>
      </w:r>
      <w:r w:rsidR="009A26C2">
        <w:t xml:space="preserve"> </w:t>
      </w:r>
      <w:r w:rsidR="00B27AB5">
        <w:t>F</w:t>
      </w:r>
      <w:r w:rsidR="009A26C2">
        <w:t xml:space="preserve">uture </w:t>
      </w:r>
      <w:r w:rsidR="00B27AB5">
        <w:t xml:space="preserve">market </w:t>
      </w:r>
      <w:r w:rsidR="009A26C2">
        <w:t xml:space="preserve">share is </w:t>
      </w:r>
      <w:r w:rsidR="00B27AB5">
        <w:t xml:space="preserve">determined </w:t>
      </w:r>
      <w:r w:rsidR="009A26C2">
        <w:t xml:space="preserve">based on </w:t>
      </w:r>
      <w:r w:rsidR="00EE3AAA">
        <w:t xml:space="preserve">existing </w:t>
      </w:r>
      <w:r w:rsidR="00B27AB5">
        <w:t xml:space="preserve">market </w:t>
      </w:r>
      <w:r w:rsidR="009A26C2">
        <w:t xml:space="preserve">share and </w:t>
      </w:r>
      <w:r w:rsidR="003248F2">
        <w:t xml:space="preserve">the value of </w:t>
      </w:r>
      <w:r w:rsidR="00006A2B">
        <w:t xml:space="preserve">relevant patents the </w:t>
      </w:r>
      <w:r w:rsidR="003248F2">
        <w:t>firm</w:t>
      </w:r>
      <w:r w:rsidR="00006A2B">
        <w:t xml:space="preserve"> </w:t>
      </w:r>
      <w:r w:rsidR="002C1E37">
        <w:t>owns</w:t>
      </w:r>
      <w:r w:rsidR="00025BD6">
        <w:t xml:space="preserve">, </w:t>
      </w:r>
      <w:r w:rsidR="00025BD6">
        <w:t>an indicator for market share growth (decline)</w:t>
      </w:r>
      <w:r w:rsidR="00EE3AAA">
        <w:t>.</w:t>
      </w:r>
    </w:p>
    <w:p w14:paraId="6C2DFAF4" w14:textId="6CCC056A" w:rsidR="00D2013D" w:rsidRDefault="00D2013D" w:rsidP="00D2013D"/>
    <w:p w14:paraId="69F8B163" w14:textId="500A1C39" w:rsidR="006E446E" w:rsidRDefault="003248F2" w:rsidP="00D2013D">
      <w:r>
        <w:t xml:space="preserve">The key data sources used in analysis are </w:t>
      </w:r>
      <w:r w:rsidR="00091FFA">
        <w:t xml:space="preserve">set out below, with the categories used set out in </w:t>
      </w:r>
      <w:r w:rsidR="00091FFA">
        <w:fldChar w:fldCharType="begin"/>
      </w:r>
      <w:r w:rsidR="00091FFA">
        <w:instrText xml:space="preserve"> REF _Ref508373894 \r \h </w:instrText>
      </w:r>
      <w:r w:rsidR="00091FFA">
        <w:fldChar w:fldCharType="separate"/>
      </w:r>
      <w:r w:rsidR="00091FFA">
        <w:t>Table 1</w:t>
      </w:r>
      <w:r w:rsidR="00091FFA">
        <w:fldChar w:fldCharType="end"/>
      </w:r>
      <w:r w:rsidR="00B30D99">
        <w:t>:</w:t>
      </w:r>
    </w:p>
    <w:p w14:paraId="42FD4B13" w14:textId="77777777" w:rsidR="00324AC6" w:rsidRDefault="00B30D99" w:rsidP="00B30D99">
      <w:pPr>
        <w:pStyle w:val="ListParagraph"/>
        <w:numPr>
          <w:ilvl w:val="0"/>
          <w:numId w:val="18"/>
        </w:numPr>
      </w:pPr>
      <w:commentRangeStart w:id="2"/>
      <w:r w:rsidRPr="00B41EFD">
        <w:rPr>
          <w:b/>
        </w:rPr>
        <w:t xml:space="preserve">FTSE Russell </w:t>
      </w:r>
      <w:r w:rsidR="00B41EFD" w:rsidRPr="00B41EFD">
        <w:rPr>
          <w:b/>
        </w:rPr>
        <w:t>Green Revenues series</w:t>
      </w:r>
      <w:r w:rsidR="00B41EFD">
        <w:t>:</w:t>
      </w:r>
    </w:p>
    <w:p w14:paraId="5AD6ACCB" w14:textId="0E10442B" w:rsidR="0000746E" w:rsidRDefault="00324AC6" w:rsidP="00324AC6">
      <w:pPr>
        <w:pStyle w:val="ListParagraph"/>
        <w:numPr>
          <w:ilvl w:val="1"/>
          <w:numId w:val="18"/>
        </w:numPr>
      </w:pPr>
      <w:r>
        <w:t>P</w:t>
      </w:r>
      <w:r w:rsidR="006021C8">
        <w:t xml:space="preserve">roportion of each MSCI World company’s revenue which is attributable to </w:t>
      </w:r>
      <w:r w:rsidR="005C558A">
        <w:t>each of 60 green activities</w:t>
      </w:r>
      <w:r w:rsidR="0000746E">
        <w:t>;</w:t>
      </w:r>
    </w:p>
    <w:p w14:paraId="60446E43" w14:textId="2113DEA5" w:rsidR="0000746E" w:rsidRDefault="0000746E" w:rsidP="00324AC6">
      <w:pPr>
        <w:pStyle w:val="ListParagraph"/>
        <w:numPr>
          <w:ilvl w:val="1"/>
          <w:numId w:val="18"/>
        </w:numPr>
      </w:pPr>
      <w:r>
        <w:t>Covers</w:t>
      </w:r>
      <w:r w:rsidR="005C558A">
        <w:t xml:space="preserve"> all</w:t>
      </w:r>
      <w:r>
        <w:t xml:space="preserve"> major </w:t>
      </w:r>
      <w:r w:rsidR="005C558A">
        <w:t>industries and technologies involved in the transition to a low carbon economy</w:t>
      </w:r>
      <w:r>
        <w:t>;</w:t>
      </w:r>
    </w:p>
    <w:p w14:paraId="5CB8C6FA" w14:textId="12511C30" w:rsidR="0000746E" w:rsidRDefault="0000746E" w:rsidP="00324AC6">
      <w:pPr>
        <w:pStyle w:val="ListParagraph"/>
        <w:numPr>
          <w:ilvl w:val="1"/>
          <w:numId w:val="18"/>
        </w:numPr>
      </w:pPr>
      <w:r>
        <w:t>T</w:t>
      </w:r>
      <w:r w:rsidR="003746AB">
        <w:t xml:space="preserve">ime series dataset </w:t>
      </w:r>
      <w:r>
        <w:t xml:space="preserve">covering </w:t>
      </w:r>
      <w:r w:rsidR="003746AB">
        <w:t>98.5% of global market capitalization</w:t>
      </w:r>
      <w:r>
        <w:t>;</w:t>
      </w:r>
    </w:p>
    <w:p w14:paraId="2EE9A155" w14:textId="0CD63019" w:rsidR="00B30D99" w:rsidRDefault="0000746E" w:rsidP="00324AC6">
      <w:pPr>
        <w:pStyle w:val="ListParagraph"/>
        <w:numPr>
          <w:ilvl w:val="1"/>
          <w:numId w:val="18"/>
        </w:numPr>
      </w:pPr>
      <w:r>
        <w:t>R</w:t>
      </w:r>
      <w:r w:rsidR="003746AB">
        <w:t>eflects company revenue shares to a granularity of 0.01% of total revenue</w:t>
      </w:r>
      <w:commentRangeEnd w:id="2"/>
      <w:r>
        <w:t>.</w:t>
      </w:r>
      <w:r w:rsidR="003A1590">
        <w:rPr>
          <w:rStyle w:val="CommentReference"/>
        </w:rPr>
        <w:commentReference w:id="2"/>
      </w:r>
    </w:p>
    <w:p w14:paraId="2F629D24" w14:textId="77777777" w:rsidR="003E3311" w:rsidRDefault="00F60CFA" w:rsidP="00B30D99">
      <w:pPr>
        <w:pStyle w:val="ListParagraph"/>
        <w:numPr>
          <w:ilvl w:val="0"/>
          <w:numId w:val="18"/>
        </w:numPr>
      </w:pPr>
      <w:commentRangeStart w:id="3"/>
      <w:r>
        <w:rPr>
          <w:b/>
        </w:rPr>
        <w:t>Orbis Patent data:</w:t>
      </w:r>
    </w:p>
    <w:p w14:paraId="3DE9BB54" w14:textId="4AC456F6" w:rsidR="003E3311" w:rsidRDefault="003E3311" w:rsidP="003E3311">
      <w:pPr>
        <w:pStyle w:val="ListParagraph"/>
        <w:numPr>
          <w:ilvl w:val="1"/>
          <w:numId w:val="18"/>
        </w:numPr>
      </w:pPr>
      <w:r>
        <w:t>N</w:t>
      </w:r>
      <w:r w:rsidR="00AA34A4">
        <w:t xml:space="preserve">umber of patents filled under </w:t>
      </w:r>
      <w:r w:rsidR="0034614F">
        <w:t>green patent categories as part of the International Patent Classification (IPC) system</w:t>
      </w:r>
      <w:commentRangeEnd w:id="3"/>
      <w:r w:rsidR="0034614F">
        <w:rPr>
          <w:rStyle w:val="CommentReference"/>
        </w:rPr>
        <w:commentReference w:id="3"/>
      </w:r>
      <w:r>
        <w:t>;</w:t>
      </w:r>
    </w:p>
    <w:p w14:paraId="797BD50F" w14:textId="31804692" w:rsidR="000950A6" w:rsidRPr="006A495B" w:rsidRDefault="00D26827" w:rsidP="003E3311">
      <w:pPr>
        <w:pStyle w:val="ListParagraph"/>
        <w:numPr>
          <w:ilvl w:val="1"/>
          <w:numId w:val="18"/>
        </w:numPr>
      </w:pPr>
      <w:r>
        <w:t xml:space="preserve"> </w:t>
      </w:r>
      <w:r w:rsidRPr="00D26827">
        <w:rPr>
          <w:highlight w:val="yellow"/>
        </w:rPr>
        <w:t>Details on how green patent categories were mapped to FTSE Russell revenue categories</w:t>
      </w:r>
      <w:r w:rsidR="003E3311">
        <w:t>.</w:t>
      </w:r>
    </w:p>
    <w:p w14:paraId="67858BA9" w14:textId="77777777" w:rsidR="003E3311" w:rsidRDefault="00390BD0" w:rsidP="006A495B">
      <w:pPr>
        <w:pStyle w:val="ListParagraph"/>
        <w:numPr>
          <w:ilvl w:val="0"/>
          <w:numId w:val="18"/>
        </w:numPr>
      </w:pPr>
      <w:r w:rsidRPr="008652F5">
        <w:rPr>
          <w:b/>
        </w:rPr>
        <w:t>TIAM (Times Integrated Assessment Model) scenario data</w:t>
      </w:r>
      <w:r>
        <w:t>:</w:t>
      </w:r>
    </w:p>
    <w:p w14:paraId="55A35089" w14:textId="081DB7C7" w:rsidR="003E3311" w:rsidRDefault="003E3311" w:rsidP="003E3311">
      <w:pPr>
        <w:pStyle w:val="ListParagraph"/>
        <w:numPr>
          <w:ilvl w:val="1"/>
          <w:numId w:val="18"/>
        </w:numPr>
      </w:pPr>
      <w:r>
        <w:t>V</w:t>
      </w:r>
      <w:r w:rsidR="005115B0">
        <w:t xml:space="preserve">olume of key green sector variables under each climate policy scenario, based on </w:t>
      </w:r>
      <w:r w:rsidR="008D4625">
        <w:t xml:space="preserve">policy simulations using the </w:t>
      </w:r>
      <w:r w:rsidR="005115B0">
        <w:t>Imperial TIAM energy systems model</w:t>
      </w:r>
      <w:r w:rsidR="00E45434">
        <w:t>;</w:t>
      </w:r>
    </w:p>
    <w:p w14:paraId="772010A7" w14:textId="56316062" w:rsidR="00E45434" w:rsidRDefault="00E45434" w:rsidP="003E3311">
      <w:pPr>
        <w:pStyle w:val="ListParagraph"/>
        <w:numPr>
          <w:ilvl w:val="1"/>
          <w:numId w:val="18"/>
        </w:numPr>
      </w:pPr>
      <w:r>
        <w:t>Each data line is fully consistent with other key variables such as</w:t>
      </w:r>
      <w:r w:rsidR="00BB59F2">
        <w:t xml:space="preserve"> the carbon price, fossil fuel use, and</w:t>
      </w:r>
      <w:r w:rsidR="001028B3">
        <w:t xml:space="preserve"> </w:t>
      </w:r>
      <w:r w:rsidR="003B733F">
        <w:t>demand for energy services;</w:t>
      </w:r>
    </w:p>
    <w:p w14:paraId="7110B53D" w14:textId="6A6FA470" w:rsidR="006A495B" w:rsidRDefault="003B733F" w:rsidP="003E3311">
      <w:pPr>
        <w:pStyle w:val="ListParagraph"/>
        <w:numPr>
          <w:ilvl w:val="1"/>
          <w:numId w:val="18"/>
        </w:numPr>
      </w:pPr>
      <w:r>
        <w:t xml:space="preserve">Example data lines include: </w:t>
      </w:r>
      <w:r w:rsidR="00BE5C2C">
        <w:t>new renewable generation capacity</w:t>
      </w:r>
      <w:r>
        <w:t xml:space="preserve"> deployment</w:t>
      </w:r>
      <w:r w:rsidR="00BE5C2C">
        <w:t>, electric vehicle</w:t>
      </w:r>
      <w:r>
        <w:t>s</w:t>
      </w:r>
      <w:r w:rsidR="00DC729F">
        <w:t xml:space="preserve">, </w:t>
      </w:r>
      <w:commentRangeStart w:id="4"/>
      <w:r w:rsidR="00DC729F" w:rsidRPr="007C13DC">
        <w:rPr>
          <w:highlight w:val="yellow"/>
        </w:rPr>
        <w:t xml:space="preserve">battery </w:t>
      </w:r>
      <w:r w:rsidRPr="007C13DC">
        <w:rPr>
          <w:highlight w:val="yellow"/>
        </w:rPr>
        <w:t>production</w:t>
      </w:r>
      <w:commentRangeEnd w:id="4"/>
      <w:r w:rsidR="00E466D6">
        <w:rPr>
          <w:rStyle w:val="CommentReference"/>
        </w:rPr>
        <w:commentReference w:id="4"/>
      </w:r>
      <w:r>
        <w:t xml:space="preserve">, and </w:t>
      </w:r>
      <w:r w:rsidR="00DC729F">
        <w:t>heat pump production</w:t>
      </w:r>
      <w:r w:rsidR="007C13DC">
        <w:t>.</w:t>
      </w:r>
    </w:p>
    <w:p w14:paraId="47EC6A42" w14:textId="160F88C8" w:rsidR="006B4E7A" w:rsidRPr="00DE4EAF" w:rsidRDefault="006B4E7A" w:rsidP="004028EC">
      <w:pPr>
        <w:pStyle w:val="Tabletitle"/>
        <w:spacing w:after="360" w:line="220" w:lineRule="exact"/>
        <w:ind w:left="992" w:hanging="992"/>
      </w:pPr>
      <w:bookmarkStart w:id="5" w:name="_Ref508373894"/>
      <w:r>
        <w:lastRenderedPageBreak/>
        <w:t xml:space="preserve">‘Green upside’ sectors identified </w:t>
      </w:r>
      <w:r w:rsidR="000D142A">
        <w:t>as part of the Low Carbon portfolio tool</w:t>
      </w:r>
      <w:bookmarkEnd w:id="5"/>
    </w:p>
    <w:tbl>
      <w:tblPr>
        <w:tblStyle w:val="Vividtable"/>
        <w:tblW w:w="9048" w:type="dxa"/>
        <w:tblLook w:val="04A0" w:firstRow="1" w:lastRow="0" w:firstColumn="1" w:lastColumn="0" w:noHBand="0" w:noVBand="1"/>
      </w:tblPr>
      <w:tblGrid>
        <w:gridCol w:w="1508"/>
        <w:gridCol w:w="1508"/>
        <w:gridCol w:w="1508"/>
        <w:gridCol w:w="1146"/>
        <w:gridCol w:w="1870"/>
        <w:gridCol w:w="1508"/>
      </w:tblGrid>
      <w:tr w:rsidR="00C335D7" w:rsidRPr="004028EC" w14:paraId="7A5300B4" w14:textId="6F0B1544" w:rsidTr="00C33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96"/>
          <w:tblHeader/>
        </w:trPr>
        <w:tc>
          <w:tcPr>
            <w:tcW w:w="833" w:type="pct"/>
            <w:tcBorders>
              <w:bottom w:val="single" w:sz="4" w:space="0" w:color="000000" w:themeColor="text1"/>
            </w:tcBorders>
          </w:tcPr>
          <w:p w14:paraId="28315EA3" w14:textId="1AC02AD0" w:rsidR="00C335D7" w:rsidRPr="00F2039B" w:rsidRDefault="00C335D7" w:rsidP="00C335D7">
            <w:pPr>
              <w:keepNext/>
              <w:spacing w:line="240" w:lineRule="auto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Activity</w:t>
            </w:r>
          </w:p>
        </w:tc>
        <w:tc>
          <w:tcPr>
            <w:tcW w:w="833" w:type="pct"/>
            <w:tcBorders>
              <w:bottom w:val="single" w:sz="4" w:space="0" w:color="000000" w:themeColor="text1"/>
            </w:tcBorders>
          </w:tcPr>
          <w:p w14:paraId="53B54390" w14:textId="2EE6A8F2" w:rsidR="00C335D7" w:rsidRPr="00F2039B" w:rsidRDefault="00C335D7" w:rsidP="00C335D7">
            <w:pPr>
              <w:keepNext/>
              <w:spacing w:line="240" w:lineRule="auto"/>
              <w:rPr>
                <w:rStyle w:val="PlaceholderText"/>
                <w:rFonts w:cstheme="minorHAnsi"/>
                <w:b w:val="0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Sector product</w:t>
            </w:r>
          </w:p>
        </w:tc>
        <w:tc>
          <w:tcPr>
            <w:tcW w:w="833" w:type="pct"/>
            <w:tcBorders>
              <w:bottom w:val="single" w:sz="4" w:space="0" w:color="000000" w:themeColor="text1"/>
            </w:tcBorders>
          </w:tcPr>
          <w:p w14:paraId="6BEDC021" w14:textId="1223D60E" w:rsidR="00C335D7" w:rsidRPr="00F2039B" w:rsidRDefault="00C335D7" w:rsidP="00C335D7">
            <w:pPr>
              <w:keepNext/>
              <w:spacing w:line="240" w:lineRule="auto"/>
              <w:rPr>
                <w:rStyle w:val="PlaceholderText"/>
                <w:rFonts w:cstheme="minorHAnsi"/>
                <w:b w:val="0"/>
                <w:sz w:val="16"/>
                <w:szCs w:val="16"/>
              </w:rPr>
            </w:pPr>
            <w:r w:rsidRPr="00F2039B">
              <w:rPr>
                <w:rStyle w:val="PlaceholderText"/>
                <w:rFonts w:cstheme="minorHAnsi"/>
                <w:sz w:val="16"/>
                <w:szCs w:val="16"/>
              </w:rPr>
              <w:t>FTSE Russell category</w:t>
            </w:r>
          </w:p>
        </w:tc>
        <w:tc>
          <w:tcPr>
            <w:tcW w:w="633" w:type="pct"/>
            <w:tcBorders>
              <w:bottom w:val="single" w:sz="4" w:space="0" w:color="000000" w:themeColor="text1"/>
            </w:tcBorders>
          </w:tcPr>
          <w:p w14:paraId="5CABFEBC" w14:textId="685AFDFC" w:rsidR="00C335D7" w:rsidRPr="00F2039B" w:rsidRDefault="00C335D7" w:rsidP="00C335D7">
            <w:pPr>
              <w:keepNext/>
              <w:spacing w:line="240" w:lineRule="auto"/>
              <w:rPr>
                <w:rStyle w:val="PlaceholderText"/>
                <w:rFonts w:cstheme="minorHAnsi"/>
                <w:sz w:val="16"/>
                <w:szCs w:val="16"/>
              </w:rPr>
            </w:pPr>
            <w:r w:rsidRPr="00F2039B">
              <w:rPr>
                <w:rStyle w:val="PlaceholderText"/>
                <w:rFonts w:cstheme="minorHAnsi"/>
                <w:sz w:val="16"/>
                <w:szCs w:val="16"/>
              </w:rPr>
              <w:t xml:space="preserve">Orbis patent </w:t>
            </w:r>
            <w:r w:rsidR="0094543C">
              <w:rPr>
                <w:rStyle w:val="PlaceholderText"/>
                <w:rFonts w:cstheme="minorHAnsi"/>
                <w:sz w:val="16"/>
                <w:szCs w:val="16"/>
              </w:rPr>
              <w:t>category</w:t>
            </w:r>
          </w:p>
        </w:tc>
        <w:tc>
          <w:tcPr>
            <w:tcW w:w="1033" w:type="pct"/>
            <w:tcBorders>
              <w:bottom w:val="single" w:sz="4" w:space="0" w:color="000000" w:themeColor="text1"/>
            </w:tcBorders>
          </w:tcPr>
          <w:p w14:paraId="69E7ACC3" w14:textId="770E8907" w:rsidR="00C335D7" w:rsidRPr="00F2039B" w:rsidRDefault="00C335D7" w:rsidP="00C335D7">
            <w:pPr>
              <w:keepNext/>
              <w:spacing w:line="240" w:lineRule="auto"/>
              <w:rPr>
                <w:rStyle w:val="PlaceholderText"/>
                <w:rFonts w:cstheme="minorHAnsi"/>
                <w:sz w:val="16"/>
                <w:szCs w:val="16"/>
              </w:rPr>
            </w:pPr>
            <w:r w:rsidRPr="00F2039B">
              <w:rPr>
                <w:rStyle w:val="PlaceholderText"/>
                <w:rFonts w:cstheme="minorHAnsi"/>
                <w:sz w:val="16"/>
                <w:szCs w:val="16"/>
              </w:rPr>
              <w:t>TIAM model variable(s)</w:t>
            </w:r>
          </w:p>
        </w:tc>
        <w:tc>
          <w:tcPr>
            <w:tcW w:w="833" w:type="pct"/>
            <w:tcBorders>
              <w:bottom w:val="single" w:sz="4" w:space="0" w:color="000000" w:themeColor="text1"/>
            </w:tcBorders>
          </w:tcPr>
          <w:p w14:paraId="173BB7C2" w14:textId="79B5308D" w:rsidR="00C335D7" w:rsidRPr="00F2039B" w:rsidRDefault="00C335D7" w:rsidP="00C335D7">
            <w:pPr>
              <w:keepNext/>
              <w:spacing w:line="240" w:lineRule="auto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Comments</w:t>
            </w:r>
          </w:p>
        </w:tc>
      </w:tr>
      <w:tr w:rsidR="00C335D7" w:rsidRPr="004028EC" w14:paraId="1961C739" w14:textId="46111226" w:rsidTr="00C33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5"/>
        </w:trPr>
        <w:tc>
          <w:tcPr>
            <w:tcW w:w="833" w:type="pct"/>
            <w:tcBorders>
              <w:top w:val="single" w:sz="4" w:space="0" w:color="000000" w:themeColor="text1"/>
            </w:tcBorders>
          </w:tcPr>
          <w:p w14:paraId="2937EE09" w14:textId="5A138897" w:rsidR="00C335D7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Low carbon energy equipment</w:t>
            </w:r>
          </w:p>
        </w:tc>
        <w:tc>
          <w:tcPr>
            <w:tcW w:w="833" w:type="pct"/>
            <w:tcBorders>
              <w:top w:val="single" w:sz="4" w:space="0" w:color="000000" w:themeColor="text1"/>
            </w:tcBorders>
          </w:tcPr>
          <w:p w14:paraId="5D4EEB94" w14:textId="47DDF61F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Wind turbines</w:t>
            </w:r>
          </w:p>
        </w:tc>
        <w:tc>
          <w:tcPr>
            <w:tcW w:w="833" w:type="pct"/>
            <w:tcBorders>
              <w:top w:val="single" w:sz="4" w:space="0" w:color="000000" w:themeColor="text1"/>
            </w:tcBorders>
          </w:tcPr>
          <w:p w14:paraId="37B08613" w14:textId="650FC0CB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Energy Equipment – Wind</w:t>
            </w:r>
          </w:p>
        </w:tc>
        <w:tc>
          <w:tcPr>
            <w:tcW w:w="633" w:type="pct"/>
            <w:tcBorders>
              <w:top w:val="single" w:sz="4" w:space="0" w:color="000000" w:themeColor="text1"/>
            </w:tcBorders>
          </w:tcPr>
          <w:p w14:paraId="26B19EE3" w14:textId="7DCA40CD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 w:rsidRPr="00C9460B"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  <w:tcBorders>
              <w:top w:val="single" w:sz="4" w:space="0" w:color="000000" w:themeColor="text1"/>
            </w:tcBorders>
          </w:tcPr>
          <w:p w14:paraId="1DC17EC5" w14:textId="27E5E157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New wind generation capacity (GW)</w:t>
            </w:r>
          </w:p>
        </w:tc>
        <w:tc>
          <w:tcPr>
            <w:tcW w:w="833" w:type="pct"/>
            <w:tcBorders>
              <w:top w:val="single" w:sz="4" w:space="0" w:color="000000" w:themeColor="text1"/>
            </w:tcBorders>
          </w:tcPr>
          <w:p w14:paraId="17F209BC" w14:textId="77DD4286" w:rsidR="00C335D7" w:rsidRDefault="004035C9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 xml:space="preserve">E.g. </w:t>
            </w:r>
            <w:r w:rsidR="003B5169">
              <w:rPr>
                <w:rStyle w:val="PlaceholderText"/>
                <w:rFonts w:cstheme="minorHAnsi"/>
                <w:sz w:val="16"/>
                <w:szCs w:val="16"/>
              </w:rPr>
              <w:t xml:space="preserve"> Vestas, Siemens</w:t>
            </w:r>
          </w:p>
        </w:tc>
      </w:tr>
      <w:tr w:rsidR="00C335D7" w:rsidRPr="004028EC" w14:paraId="7F60BD72" w14:textId="7569BF94" w:rsidTr="00C335D7">
        <w:trPr>
          <w:cantSplit/>
          <w:trHeight w:val="425"/>
        </w:trPr>
        <w:tc>
          <w:tcPr>
            <w:tcW w:w="833" w:type="pct"/>
          </w:tcPr>
          <w:p w14:paraId="3B236851" w14:textId="68A33B77" w:rsidR="00C335D7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Low carbon energy equipment</w:t>
            </w:r>
          </w:p>
        </w:tc>
        <w:tc>
          <w:tcPr>
            <w:tcW w:w="833" w:type="pct"/>
          </w:tcPr>
          <w:p w14:paraId="77F2BEE8" w14:textId="26CDAAEF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Solar panels</w:t>
            </w:r>
          </w:p>
        </w:tc>
        <w:tc>
          <w:tcPr>
            <w:tcW w:w="833" w:type="pct"/>
          </w:tcPr>
          <w:p w14:paraId="3692C371" w14:textId="654156F8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Energy Equipment – Solar</w:t>
            </w:r>
          </w:p>
        </w:tc>
        <w:tc>
          <w:tcPr>
            <w:tcW w:w="633" w:type="pct"/>
          </w:tcPr>
          <w:p w14:paraId="376094F3" w14:textId="67C57148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 w:rsidRPr="00C9460B"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</w:tcPr>
          <w:p w14:paraId="0F3F1263" w14:textId="426B51EF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New</w:t>
            </w:r>
            <w:r>
              <w:rPr>
                <w:rStyle w:val="PlaceholderText"/>
                <w:rFonts w:cstheme="minorHAnsi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cstheme="minorHAnsi"/>
                <w:sz w:val="16"/>
                <w:szCs w:val="16"/>
              </w:rPr>
              <w:t xml:space="preserve">solar generation </w:t>
            </w:r>
            <w:r>
              <w:rPr>
                <w:rStyle w:val="PlaceholderText"/>
                <w:rFonts w:cstheme="minorHAnsi"/>
                <w:sz w:val="16"/>
                <w:szCs w:val="16"/>
              </w:rPr>
              <w:t>capacity (GW)</w:t>
            </w:r>
          </w:p>
        </w:tc>
        <w:tc>
          <w:tcPr>
            <w:tcW w:w="833" w:type="pct"/>
          </w:tcPr>
          <w:p w14:paraId="74E799BB" w14:textId="7DC3C41B" w:rsidR="00C335D7" w:rsidRDefault="004035C9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 xml:space="preserve">E.g. </w:t>
            </w:r>
            <w:r w:rsidR="003B5169">
              <w:rPr>
                <w:rStyle w:val="PlaceholderText"/>
                <w:rFonts w:cstheme="minorHAnsi"/>
                <w:sz w:val="16"/>
                <w:szCs w:val="16"/>
              </w:rPr>
              <w:t xml:space="preserve"> </w:t>
            </w:r>
            <w:r w:rsidR="00A1037C">
              <w:rPr>
                <w:rStyle w:val="PlaceholderText"/>
                <w:rFonts w:cstheme="minorHAnsi"/>
                <w:sz w:val="16"/>
                <w:szCs w:val="16"/>
              </w:rPr>
              <w:t>Mitsubishi</w:t>
            </w:r>
            <w:r w:rsidR="0079561E">
              <w:rPr>
                <w:rStyle w:val="PlaceholderText"/>
                <w:rFonts w:cstheme="minorHAnsi"/>
                <w:sz w:val="16"/>
                <w:szCs w:val="16"/>
              </w:rPr>
              <w:t xml:space="preserve"> Electric</w:t>
            </w:r>
          </w:p>
        </w:tc>
      </w:tr>
      <w:tr w:rsidR="00C335D7" w:rsidRPr="004028EC" w14:paraId="0094490F" w14:textId="2640581D" w:rsidTr="00C33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5"/>
        </w:trPr>
        <w:tc>
          <w:tcPr>
            <w:tcW w:w="833" w:type="pct"/>
          </w:tcPr>
          <w:p w14:paraId="02C7A017" w14:textId="5A04BFA6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Low carbon energy equipment</w:t>
            </w:r>
          </w:p>
        </w:tc>
        <w:tc>
          <w:tcPr>
            <w:tcW w:w="833" w:type="pct"/>
          </w:tcPr>
          <w:p w14:paraId="41ED061E" w14:textId="2E95E4AE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Hydroelectric turbines</w:t>
            </w:r>
          </w:p>
        </w:tc>
        <w:tc>
          <w:tcPr>
            <w:tcW w:w="833" w:type="pct"/>
          </w:tcPr>
          <w:p w14:paraId="3D10798D" w14:textId="6C585809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Energy Equipment – Hydro</w:t>
            </w:r>
          </w:p>
        </w:tc>
        <w:tc>
          <w:tcPr>
            <w:tcW w:w="633" w:type="pct"/>
          </w:tcPr>
          <w:p w14:paraId="3C13E918" w14:textId="1C97CE12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 w:rsidRPr="00C9460B"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</w:tcPr>
          <w:p w14:paraId="62E21383" w14:textId="09676FBB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New hydro generation capacity (GW)</w:t>
            </w:r>
          </w:p>
        </w:tc>
        <w:tc>
          <w:tcPr>
            <w:tcW w:w="833" w:type="pct"/>
          </w:tcPr>
          <w:p w14:paraId="0D81292E" w14:textId="7723963F" w:rsidR="00C335D7" w:rsidRDefault="004035C9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E.g.</w:t>
            </w:r>
            <w:r w:rsidR="003B5169">
              <w:rPr>
                <w:rStyle w:val="PlaceholderText"/>
                <w:rFonts w:cstheme="minorHAnsi"/>
                <w:sz w:val="16"/>
                <w:szCs w:val="16"/>
              </w:rPr>
              <w:t xml:space="preserve"> </w:t>
            </w:r>
            <w:r w:rsidR="003B5169">
              <w:rPr>
                <w:rStyle w:val="PlaceholderText"/>
                <w:rFonts w:cstheme="minorHAnsi"/>
                <w:sz w:val="16"/>
                <w:szCs w:val="16"/>
              </w:rPr>
              <w:t>General Electric</w:t>
            </w:r>
          </w:p>
        </w:tc>
      </w:tr>
      <w:tr w:rsidR="00C335D7" w:rsidRPr="004028EC" w14:paraId="38C3284D" w14:textId="3B290C3B" w:rsidTr="00C335D7">
        <w:trPr>
          <w:cantSplit/>
          <w:trHeight w:val="425"/>
        </w:trPr>
        <w:tc>
          <w:tcPr>
            <w:tcW w:w="833" w:type="pct"/>
          </w:tcPr>
          <w:p w14:paraId="569807FE" w14:textId="7E3D6D0E" w:rsidR="00C335D7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Low carbon energy equipment</w:t>
            </w:r>
          </w:p>
        </w:tc>
        <w:tc>
          <w:tcPr>
            <w:tcW w:w="833" w:type="pct"/>
          </w:tcPr>
          <w:p w14:paraId="21777244" w14:textId="0D1DBC70" w:rsidR="00C335D7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Carbon capture, utilisation and storage equipment</w:t>
            </w:r>
          </w:p>
        </w:tc>
        <w:tc>
          <w:tcPr>
            <w:tcW w:w="833" w:type="pct"/>
          </w:tcPr>
          <w:p w14:paraId="7E67701E" w14:textId="517C5A3C" w:rsidR="00C335D7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Energy Equipment – Clean Fossil Fuels</w:t>
            </w:r>
          </w:p>
        </w:tc>
        <w:tc>
          <w:tcPr>
            <w:tcW w:w="633" w:type="pct"/>
          </w:tcPr>
          <w:p w14:paraId="614531CC" w14:textId="06C94622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 w:rsidRPr="00C9460B"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</w:tcPr>
          <w:p w14:paraId="3694458A" w14:textId="2D497E70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New CCS generation capacity (GW)</w:t>
            </w:r>
          </w:p>
        </w:tc>
        <w:tc>
          <w:tcPr>
            <w:tcW w:w="833" w:type="pct"/>
          </w:tcPr>
          <w:p w14:paraId="30C7112C" w14:textId="09EBDA8D" w:rsidR="00C335D7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</w:p>
        </w:tc>
      </w:tr>
      <w:tr w:rsidR="00C335D7" w:rsidRPr="004028EC" w14:paraId="770ECAE5" w14:textId="30A17883" w:rsidTr="00C33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5"/>
        </w:trPr>
        <w:tc>
          <w:tcPr>
            <w:tcW w:w="833" w:type="pct"/>
          </w:tcPr>
          <w:p w14:paraId="61CE4390" w14:textId="266933C0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L</w:t>
            </w:r>
            <w:r>
              <w:rPr>
                <w:rStyle w:val="PlaceholderText"/>
                <w:rFonts w:cstheme="minorHAnsi"/>
                <w:sz w:val="16"/>
                <w:szCs w:val="16"/>
              </w:rPr>
              <w:t>ow carbon energy equipment</w:t>
            </w:r>
          </w:p>
        </w:tc>
        <w:tc>
          <w:tcPr>
            <w:tcW w:w="833" w:type="pct"/>
          </w:tcPr>
          <w:p w14:paraId="57248B48" w14:textId="0F07DCA3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All other low carbon energy equipment</w:t>
            </w:r>
          </w:p>
        </w:tc>
        <w:tc>
          <w:tcPr>
            <w:tcW w:w="833" w:type="pct"/>
          </w:tcPr>
          <w:p w14:paraId="30001E20" w14:textId="35C3670A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Energy Equipment – all other categories</w:t>
            </w:r>
          </w:p>
        </w:tc>
        <w:tc>
          <w:tcPr>
            <w:tcW w:w="633" w:type="pct"/>
          </w:tcPr>
          <w:p w14:paraId="3A95DBBE" w14:textId="729445AA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 w:rsidRPr="00C9460B"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</w:tcPr>
          <w:p w14:paraId="0B97B9EB" w14:textId="7D26BCEA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Other new zero / low carbon generation capacity (GW)</w:t>
            </w:r>
          </w:p>
        </w:tc>
        <w:tc>
          <w:tcPr>
            <w:tcW w:w="833" w:type="pct"/>
          </w:tcPr>
          <w:p w14:paraId="3D990E09" w14:textId="77777777" w:rsidR="00C335D7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</w:p>
        </w:tc>
      </w:tr>
      <w:tr w:rsidR="00C335D7" w:rsidRPr="004028EC" w14:paraId="50E8F065" w14:textId="5F8BFE26" w:rsidTr="00C335D7">
        <w:trPr>
          <w:cantSplit/>
          <w:trHeight w:val="425"/>
        </w:trPr>
        <w:tc>
          <w:tcPr>
            <w:tcW w:w="833" w:type="pct"/>
          </w:tcPr>
          <w:p w14:paraId="2220454F" w14:textId="4AF1D44C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Low carbon transport</w:t>
            </w:r>
          </w:p>
        </w:tc>
        <w:tc>
          <w:tcPr>
            <w:tcW w:w="833" w:type="pct"/>
          </w:tcPr>
          <w:p w14:paraId="0D8AA22A" w14:textId="49C9362C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Electric vehicles</w:t>
            </w:r>
          </w:p>
        </w:tc>
        <w:tc>
          <w:tcPr>
            <w:tcW w:w="833" w:type="pct"/>
          </w:tcPr>
          <w:p w14:paraId="1A7BD930" w14:textId="3A0B9B19" w:rsidR="00C335D7" w:rsidRPr="00F2039B" w:rsidRDefault="0034694F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Modal Shift – Road Vehicles</w:t>
            </w:r>
          </w:p>
        </w:tc>
        <w:tc>
          <w:tcPr>
            <w:tcW w:w="633" w:type="pct"/>
          </w:tcPr>
          <w:p w14:paraId="36C91C41" w14:textId="5B777ABD" w:rsidR="00C335D7" w:rsidRPr="00F2039B" w:rsidRDefault="0034694F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 w:rsidRPr="0034694F"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</w:tcPr>
          <w:p w14:paraId="2ECA433A" w14:textId="15C1E830" w:rsidR="00C335D7" w:rsidRPr="00F2039B" w:rsidRDefault="003A1DC9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Electric vehicle usage (bn passenger km)</w:t>
            </w:r>
          </w:p>
        </w:tc>
        <w:tc>
          <w:tcPr>
            <w:tcW w:w="833" w:type="pct"/>
          </w:tcPr>
          <w:p w14:paraId="18A1DAF0" w14:textId="1D02204E" w:rsidR="00C335D7" w:rsidRPr="00F2039B" w:rsidRDefault="00C335D7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Do we want to add fuel cell vehicles to this?</w:t>
            </w:r>
            <w:r w:rsidR="004035C9">
              <w:rPr>
                <w:rStyle w:val="PlaceholderText"/>
                <w:rFonts w:cstheme="minorHAnsi"/>
                <w:sz w:val="16"/>
                <w:szCs w:val="16"/>
              </w:rPr>
              <w:br/>
              <w:t>E.g. Tesla</w:t>
            </w:r>
          </w:p>
        </w:tc>
      </w:tr>
      <w:tr w:rsidR="001460B0" w:rsidRPr="004028EC" w14:paraId="2E3B1F55" w14:textId="77777777" w:rsidTr="00C33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5"/>
        </w:trPr>
        <w:tc>
          <w:tcPr>
            <w:tcW w:w="833" w:type="pct"/>
          </w:tcPr>
          <w:p w14:paraId="25D68D8D" w14:textId="42FF2F82" w:rsidR="001460B0" w:rsidRDefault="00730A03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Battery and fuel cell manufacturing</w:t>
            </w:r>
          </w:p>
        </w:tc>
        <w:tc>
          <w:tcPr>
            <w:tcW w:w="833" w:type="pct"/>
          </w:tcPr>
          <w:p w14:paraId="33012D3F" w14:textId="6451CD46" w:rsidR="001460B0" w:rsidRDefault="00DD2FB5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Batteries and fuel cells for EVs and grid-scale storage</w:t>
            </w:r>
          </w:p>
        </w:tc>
        <w:tc>
          <w:tcPr>
            <w:tcW w:w="833" w:type="pct"/>
          </w:tcPr>
          <w:p w14:paraId="4F318741" w14:textId="6AE4B3CF" w:rsidR="001460B0" w:rsidRPr="00D96011" w:rsidRDefault="002C2E0F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</w:pPr>
            <w:r w:rsidRPr="001C59D4">
              <w:rPr>
                <w:rStyle w:val="PlaceholderText"/>
                <w:rFonts w:cstheme="minorHAnsi"/>
                <w:sz w:val="16"/>
                <w:szCs w:val="16"/>
              </w:rPr>
              <w:t>Energy Management – Fuel Cells</w:t>
            </w:r>
          </w:p>
        </w:tc>
        <w:tc>
          <w:tcPr>
            <w:tcW w:w="633" w:type="pct"/>
          </w:tcPr>
          <w:p w14:paraId="3A1E9963" w14:textId="063403F0" w:rsidR="001460B0" w:rsidRPr="0034694F" w:rsidRDefault="00D96011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</w:pPr>
            <w:r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</w:tcPr>
          <w:p w14:paraId="42EF3D76" w14:textId="27D24826" w:rsidR="001460B0" w:rsidRDefault="009C5C46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Electric vehicle usage (bn passenger km)</w:t>
            </w:r>
            <w:r w:rsidR="00D742EA">
              <w:rPr>
                <w:rStyle w:val="PlaceholderText"/>
                <w:rFonts w:cstheme="minorHAnsi"/>
                <w:sz w:val="16"/>
                <w:szCs w:val="16"/>
              </w:rPr>
              <w:br/>
            </w:r>
            <w:r w:rsidR="00D742EA" w:rsidRPr="00D742EA"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Grid-scale battery capacity (GW)</w:t>
            </w:r>
          </w:p>
        </w:tc>
        <w:tc>
          <w:tcPr>
            <w:tcW w:w="833" w:type="pct"/>
          </w:tcPr>
          <w:p w14:paraId="6F15B12E" w14:textId="48110652" w:rsidR="001460B0" w:rsidRDefault="0011284B" w:rsidP="002E31A5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Unclear whether we have the data to do this</w:t>
            </w:r>
            <w:r>
              <w:rPr>
                <w:rStyle w:val="PlaceholderText"/>
                <w:rFonts w:cstheme="minorHAnsi"/>
                <w:sz w:val="16"/>
                <w:szCs w:val="16"/>
              </w:rPr>
              <w:br/>
            </w:r>
            <w:r w:rsidR="004C397C">
              <w:rPr>
                <w:rStyle w:val="PlaceholderText"/>
                <w:rFonts w:cstheme="minorHAnsi"/>
                <w:sz w:val="16"/>
                <w:szCs w:val="16"/>
              </w:rPr>
              <w:t>E.g. Panasonic</w:t>
            </w:r>
          </w:p>
        </w:tc>
      </w:tr>
      <w:tr w:rsidR="00E56541" w:rsidRPr="004028EC" w14:paraId="099BD380" w14:textId="77777777" w:rsidTr="00C335D7">
        <w:trPr>
          <w:cantSplit/>
          <w:trHeight w:val="425"/>
        </w:trPr>
        <w:tc>
          <w:tcPr>
            <w:tcW w:w="833" w:type="pct"/>
          </w:tcPr>
          <w:p w14:paraId="41DF7D03" w14:textId="5D85F342" w:rsidR="00E56541" w:rsidRDefault="00E5654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Mining / minerals</w:t>
            </w:r>
          </w:p>
        </w:tc>
        <w:tc>
          <w:tcPr>
            <w:tcW w:w="833" w:type="pct"/>
          </w:tcPr>
          <w:p w14:paraId="35CBA9CB" w14:textId="0D90ED57" w:rsidR="00E56541" w:rsidRDefault="00E5654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Minerals and metals for battery manufacture</w:t>
            </w:r>
          </w:p>
        </w:tc>
        <w:tc>
          <w:tcPr>
            <w:tcW w:w="833" w:type="pct"/>
          </w:tcPr>
          <w:p w14:paraId="6AE83EA2" w14:textId="1508092B" w:rsidR="00E56541" w:rsidRDefault="00E5654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Env. Res. – Mining</w:t>
            </w:r>
          </w:p>
          <w:p w14:paraId="613D9215" w14:textId="29296352" w:rsidR="00E56541" w:rsidRDefault="00E5654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Env. Res.– Minerals and Metals</w:t>
            </w:r>
          </w:p>
        </w:tc>
        <w:tc>
          <w:tcPr>
            <w:tcW w:w="633" w:type="pct"/>
          </w:tcPr>
          <w:p w14:paraId="121A1875" w14:textId="25D5AB11" w:rsidR="00E56541" w:rsidRPr="0034694F" w:rsidRDefault="00E5654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</w:pPr>
            <w:r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</w:tcPr>
          <w:p w14:paraId="0E28F867" w14:textId="0A9DCB9E" w:rsidR="00E56541" w:rsidRDefault="00E5654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Electric vehicle usage (bn passenger km)</w:t>
            </w:r>
            <w:r>
              <w:rPr>
                <w:rStyle w:val="PlaceholderText"/>
                <w:rFonts w:cstheme="minorHAnsi"/>
                <w:sz w:val="16"/>
                <w:szCs w:val="16"/>
              </w:rPr>
              <w:br/>
            </w:r>
            <w:r w:rsidRPr="00D742EA"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Grid-scale battery capacity (GW)</w:t>
            </w:r>
          </w:p>
        </w:tc>
        <w:tc>
          <w:tcPr>
            <w:tcW w:w="833" w:type="pct"/>
          </w:tcPr>
          <w:p w14:paraId="54CE4E39" w14:textId="7A99323C" w:rsidR="00E56541" w:rsidRDefault="00EA0706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E.g. BHP Billiton</w:t>
            </w:r>
          </w:p>
        </w:tc>
      </w:tr>
      <w:tr w:rsidR="00E56541" w:rsidRPr="004028EC" w14:paraId="5B8B9A21" w14:textId="77777777" w:rsidTr="00C33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5"/>
        </w:trPr>
        <w:tc>
          <w:tcPr>
            <w:tcW w:w="833" w:type="pct"/>
          </w:tcPr>
          <w:p w14:paraId="5CAFECE0" w14:textId="2035D77F" w:rsidR="00E56541" w:rsidRDefault="00F86C0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Biofuel growth</w:t>
            </w:r>
          </w:p>
        </w:tc>
        <w:tc>
          <w:tcPr>
            <w:tcW w:w="833" w:type="pct"/>
          </w:tcPr>
          <w:p w14:paraId="641F47E2" w14:textId="11911710" w:rsidR="00E56541" w:rsidRDefault="007E13E0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Biofuels</w:t>
            </w:r>
          </w:p>
        </w:tc>
        <w:tc>
          <w:tcPr>
            <w:tcW w:w="833" w:type="pct"/>
          </w:tcPr>
          <w:p w14:paraId="1F158245" w14:textId="380C626C" w:rsidR="00E56541" w:rsidRDefault="00214973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Env. Res – Agriculture</w:t>
            </w:r>
          </w:p>
        </w:tc>
        <w:tc>
          <w:tcPr>
            <w:tcW w:w="633" w:type="pct"/>
          </w:tcPr>
          <w:p w14:paraId="17334A64" w14:textId="1D3ECA11" w:rsidR="00E56541" w:rsidRPr="0034694F" w:rsidRDefault="00214973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</w:pPr>
            <w:r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</w:tcPr>
          <w:p w14:paraId="25B99015" w14:textId="37766672" w:rsidR="00E56541" w:rsidRDefault="00E31A5E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 xml:space="preserve">Biofuels in </w:t>
            </w:r>
            <w:r w:rsidR="00725B62">
              <w:rPr>
                <w:rStyle w:val="PlaceholderText"/>
                <w:rFonts w:cstheme="minorHAnsi"/>
                <w:sz w:val="16"/>
                <w:szCs w:val="16"/>
              </w:rPr>
              <w:t>power generation, road transport (TJ)</w:t>
            </w:r>
          </w:p>
        </w:tc>
        <w:tc>
          <w:tcPr>
            <w:tcW w:w="833" w:type="pct"/>
          </w:tcPr>
          <w:p w14:paraId="5AD9407B" w14:textId="6C6AD105" w:rsidR="00E56541" w:rsidRDefault="00F77329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Is this important enough to warrant inclusion?</w:t>
            </w:r>
          </w:p>
        </w:tc>
      </w:tr>
      <w:tr w:rsidR="004A3BB1" w:rsidRPr="004028EC" w14:paraId="2615ADEB" w14:textId="77777777" w:rsidTr="00C335D7">
        <w:trPr>
          <w:cantSplit/>
          <w:trHeight w:val="425"/>
        </w:trPr>
        <w:tc>
          <w:tcPr>
            <w:tcW w:w="833" w:type="pct"/>
          </w:tcPr>
          <w:p w14:paraId="749778D2" w14:textId="464D88A6" w:rsidR="004A3BB1" w:rsidRDefault="004A3BB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 xml:space="preserve">Heating </w:t>
            </w:r>
            <w:r w:rsidR="00860EC2">
              <w:rPr>
                <w:rStyle w:val="PlaceholderText"/>
                <w:rFonts w:cstheme="minorHAnsi"/>
                <w:sz w:val="16"/>
                <w:szCs w:val="16"/>
              </w:rPr>
              <w:t>services equipment</w:t>
            </w:r>
          </w:p>
        </w:tc>
        <w:tc>
          <w:tcPr>
            <w:tcW w:w="833" w:type="pct"/>
          </w:tcPr>
          <w:p w14:paraId="720301BA" w14:textId="474CCDC0" w:rsidR="004A3BB1" w:rsidRDefault="004A3BB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Heat pumps</w:t>
            </w:r>
          </w:p>
        </w:tc>
        <w:tc>
          <w:tcPr>
            <w:tcW w:w="833" w:type="pct"/>
          </w:tcPr>
          <w:p w14:paraId="78663D12" w14:textId="52F9B87F" w:rsidR="004A3BB1" w:rsidRDefault="00913896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 w:rsidRPr="00913896"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633" w:type="pct"/>
          </w:tcPr>
          <w:p w14:paraId="0541C92A" w14:textId="1FD34045" w:rsidR="004A3BB1" w:rsidRDefault="005C57A7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</w:pPr>
            <w:r>
              <w:rPr>
                <w:rStyle w:val="PlaceholderText"/>
                <w:rFonts w:cstheme="minorHAnsi"/>
                <w:sz w:val="16"/>
                <w:szCs w:val="16"/>
                <w:highlight w:val="yellow"/>
              </w:rPr>
              <w:t>TBC</w:t>
            </w:r>
          </w:p>
        </w:tc>
        <w:tc>
          <w:tcPr>
            <w:tcW w:w="1033" w:type="pct"/>
          </w:tcPr>
          <w:p w14:paraId="47CEF9D8" w14:textId="3F85D07B" w:rsidR="004A3BB1" w:rsidRDefault="00D45DEE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  <w:r>
              <w:rPr>
                <w:rStyle w:val="PlaceholderText"/>
                <w:rFonts w:cstheme="minorHAnsi"/>
                <w:sz w:val="16"/>
                <w:szCs w:val="16"/>
              </w:rPr>
              <w:t>Heating services from heat pumps (TJ)</w:t>
            </w:r>
          </w:p>
        </w:tc>
        <w:tc>
          <w:tcPr>
            <w:tcW w:w="833" w:type="pct"/>
          </w:tcPr>
          <w:p w14:paraId="6A53A60A" w14:textId="5C6A6B15" w:rsidR="004A3BB1" w:rsidRDefault="004A3BB1" w:rsidP="00E56541">
            <w:pPr>
              <w:keepNext/>
              <w:spacing w:line="200" w:lineRule="exact"/>
              <w:rPr>
                <w:rStyle w:val="PlaceholderText"/>
                <w:rFonts w:cstheme="minorHAnsi"/>
                <w:sz w:val="16"/>
                <w:szCs w:val="16"/>
              </w:rPr>
            </w:pPr>
          </w:p>
        </w:tc>
      </w:tr>
    </w:tbl>
    <w:p w14:paraId="135B3C7E" w14:textId="77777777" w:rsidR="006B4E7A" w:rsidRPr="00820511" w:rsidRDefault="006B4E7A" w:rsidP="00DF58B3">
      <w:pPr>
        <w:pStyle w:val="Header"/>
        <w:pBdr>
          <w:bottom w:val="none" w:sz="0" w:space="0" w:color="auto"/>
        </w:pBdr>
      </w:pPr>
    </w:p>
    <w:p w14:paraId="2E2C7388" w14:textId="1BEF7C10" w:rsidR="006B4E7A" w:rsidRDefault="006B4E7A" w:rsidP="00DB0310">
      <w:pPr>
        <w:pStyle w:val="Note"/>
        <w:spacing w:line="240" w:lineRule="auto"/>
      </w:pPr>
      <w:r>
        <w:t>Note:</w:t>
      </w:r>
      <w:r>
        <w:tab/>
      </w:r>
      <w:r w:rsidR="00B67F68" w:rsidRPr="00DB0310">
        <w:rPr>
          <w:highlight w:val="yellow"/>
        </w:rPr>
        <w:t>To be filled after discussion, and cross-checking against FTSE Russell, Orbis and TIAM energy model data</w:t>
      </w:r>
      <w:r w:rsidR="00DB0310" w:rsidRPr="00DB0310">
        <w:rPr>
          <w:highlight w:val="yellow"/>
        </w:rPr>
        <w:br/>
        <w:t>Generation from renewable sources omitted intentionally – we should reflect this in the power utilities sector directly (through lower carbon intensity of generation)</w:t>
      </w:r>
    </w:p>
    <w:p w14:paraId="7A59065D" w14:textId="75738155" w:rsidR="006B4E7A" w:rsidRDefault="006B4E7A" w:rsidP="00DB0310">
      <w:pPr>
        <w:pStyle w:val="Source"/>
        <w:spacing w:line="240" w:lineRule="auto"/>
      </w:pPr>
      <w:r w:rsidRPr="00EF51BF">
        <w:t>Source:</w:t>
      </w:r>
      <w:r>
        <w:tab/>
      </w:r>
      <w:r w:rsidR="00B67F68">
        <w:t>Vivid Economics</w:t>
      </w:r>
    </w:p>
    <w:p w14:paraId="37DB4D29" w14:textId="75381C9F" w:rsidR="006B4E7A" w:rsidRDefault="00A26FD7" w:rsidP="00D2013D">
      <w:r>
        <w:rPr>
          <w:b/>
        </w:rPr>
        <w:t xml:space="preserve">Current </w:t>
      </w:r>
      <w:r w:rsidR="00166FF8">
        <w:rPr>
          <w:b/>
        </w:rPr>
        <w:t xml:space="preserve">revenue and </w:t>
      </w:r>
      <w:r>
        <w:rPr>
          <w:b/>
        </w:rPr>
        <w:t xml:space="preserve">market share </w:t>
      </w:r>
      <w:r w:rsidR="00B64118">
        <w:rPr>
          <w:b/>
        </w:rPr>
        <w:t xml:space="preserve">in green sectors </w:t>
      </w:r>
      <w:r w:rsidR="00166FF8">
        <w:rPr>
          <w:b/>
        </w:rPr>
        <w:t xml:space="preserve">is calculated </w:t>
      </w:r>
      <w:r w:rsidR="0084492C">
        <w:rPr>
          <w:b/>
        </w:rPr>
        <w:t>for each company</w:t>
      </w:r>
      <w:r w:rsidR="00B64118">
        <w:rPr>
          <w:b/>
        </w:rPr>
        <w:t>,</w:t>
      </w:r>
      <w:r w:rsidR="0084492C">
        <w:rPr>
          <w:b/>
        </w:rPr>
        <w:t xml:space="preserve"> and each </w:t>
      </w:r>
      <w:r>
        <w:rPr>
          <w:b/>
        </w:rPr>
        <w:t xml:space="preserve">sector </w:t>
      </w:r>
      <w:r w:rsidR="00B64118">
        <w:rPr>
          <w:b/>
        </w:rPr>
        <w:t>listed in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REF _Ref508373894 \r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</w:rPr>
        <w:t>Table 1</w:t>
      </w:r>
      <w:r>
        <w:rPr>
          <w:b/>
        </w:rPr>
        <w:fldChar w:fldCharType="end"/>
      </w:r>
      <w:r>
        <w:rPr>
          <w:b/>
        </w:rPr>
        <w:t>.</w:t>
      </w:r>
      <w:r w:rsidRPr="00473962">
        <w:t xml:space="preserve"> </w:t>
      </w:r>
      <w:r w:rsidR="00AC418F" w:rsidRPr="00A26FD7">
        <w:t xml:space="preserve">Green revenue in each sector is identified based on FTSE Russell green revenue shares, and total revenue, as </w:t>
      </w:r>
      <w:r w:rsidR="00D513C5">
        <w:t xml:space="preserve">reported </w:t>
      </w:r>
      <w:r w:rsidR="00AC418F" w:rsidRPr="00A26FD7">
        <w:t>in Thomson Reuters financial data.</w:t>
      </w:r>
    </w:p>
    <w:p w14:paraId="70394D7E" w14:textId="53EDF524" w:rsidR="00622FE5" w:rsidRDefault="00622FE5" w:rsidP="00D2013D"/>
    <w:p w14:paraId="4DE90FBC" w14:textId="59D061FB" w:rsidR="00296272" w:rsidRDefault="00E556E7" w:rsidP="00D2013D">
      <w:r>
        <w:rPr>
          <w:b/>
        </w:rPr>
        <w:t xml:space="preserve">Market </w:t>
      </w:r>
      <w:r w:rsidR="00C5778C">
        <w:rPr>
          <w:b/>
        </w:rPr>
        <w:t>size under each policy scenario</w:t>
      </w:r>
      <w:r>
        <w:rPr>
          <w:b/>
        </w:rPr>
        <w:t xml:space="preserve"> is estimated </w:t>
      </w:r>
      <w:r w:rsidR="00011BBB">
        <w:rPr>
          <w:b/>
        </w:rPr>
        <w:t xml:space="preserve">based on growth in </w:t>
      </w:r>
      <w:r w:rsidR="00F10A21">
        <w:rPr>
          <w:b/>
        </w:rPr>
        <w:t xml:space="preserve">product demand, </w:t>
      </w:r>
      <w:r w:rsidR="00A931C6">
        <w:rPr>
          <w:b/>
        </w:rPr>
        <w:t xml:space="preserve">as modelled under the </w:t>
      </w:r>
      <w:r w:rsidR="00011BBB">
        <w:rPr>
          <w:b/>
        </w:rPr>
        <w:t xml:space="preserve">TIAM </w:t>
      </w:r>
      <w:r w:rsidR="00A931C6">
        <w:rPr>
          <w:b/>
        </w:rPr>
        <w:t xml:space="preserve">energy system </w:t>
      </w:r>
      <w:r w:rsidR="00011BBB">
        <w:rPr>
          <w:b/>
        </w:rPr>
        <w:t>model</w:t>
      </w:r>
      <w:r w:rsidR="002701E1">
        <w:rPr>
          <w:b/>
        </w:rPr>
        <w:t xml:space="preserve">. </w:t>
      </w:r>
      <w:r w:rsidR="00A64856">
        <w:t>M</w:t>
      </w:r>
      <w:r w:rsidR="00456F12">
        <w:t xml:space="preserve">arket </w:t>
      </w:r>
      <w:r w:rsidR="00E9670B">
        <w:t xml:space="preserve">quantity </w:t>
      </w:r>
      <w:r w:rsidR="0075254D">
        <w:t xml:space="preserve">is </w:t>
      </w:r>
      <w:r w:rsidR="002E42AA">
        <w:t xml:space="preserve">scaled by </w:t>
      </w:r>
      <w:r w:rsidR="0075254D">
        <w:t xml:space="preserve">the ratio of </w:t>
      </w:r>
      <w:r w:rsidR="00C752F1">
        <w:t xml:space="preserve">demand </w:t>
      </w:r>
      <w:r w:rsidR="0075254D">
        <w:t xml:space="preserve">under the climate policy scenario </w:t>
      </w:r>
      <w:r w:rsidR="00017465">
        <w:t xml:space="preserve">relative to </w:t>
      </w:r>
      <w:r w:rsidR="00C752F1">
        <w:t xml:space="preserve">demand </w:t>
      </w:r>
      <w:r w:rsidR="0075254D">
        <w:t xml:space="preserve">under the reference scenario, where there is no </w:t>
      </w:r>
      <w:r w:rsidR="008869D3">
        <w:t>climate policy.</w:t>
      </w:r>
      <w:r w:rsidR="00A62729">
        <w:t xml:space="preserve"> For instance, the market quantity for wind turbines </w:t>
      </w:r>
      <w:r w:rsidR="003B4624">
        <w:t xml:space="preserve">under 2DS in 2020 </w:t>
      </w:r>
      <w:r w:rsidR="00A62729">
        <w:t>will depend on the business as usual market quantity</w:t>
      </w:r>
      <w:r w:rsidR="00C752F1">
        <w:t xml:space="preserve">, </w:t>
      </w:r>
      <w:r w:rsidR="005466FD">
        <w:t>demand under BAU</w:t>
      </w:r>
      <w:r w:rsidR="003B4624">
        <w:t>,</w:t>
      </w:r>
      <w:r w:rsidR="005466FD">
        <w:t xml:space="preserve"> and </w:t>
      </w:r>
      <w:r w:rsidR="003B4624">
        <w:t xml:space="preserve">demand under </w:t>
      </w:r>
      <w:r w:rsidR="005466FD">
        <w:t xml:space="preserve">2DS as shown in </w:t>
      </w:r>
      <w:r w:rsidR="005466FD">
        <w:fldChar w:fldCharType="begin"/>
      </w:r>
      <w:r w:rsidR="005466FD">
        <w:instrText xml:space="preserve"> REF _Ref508536185 \r \h </w:instrText>
      </w:r>
      <w:r w:rsidR="005466FD">
        <w:fldChar w:fldCharType="separate"/>
      </w:r>
      <w:r w:rsidR="005466FD">
        <w:t>Figure 1</w:t>
      </w:r>
      <w:r w:rsidR="005466FD">
        <w:fldChar w:fldCharType="end"/>
      </w:r>
      <w:r w:rsidR="005466FD">
        <w:t>.</w:t>
      </w:r>
    </w:p>
    <w:p w14:paraId="7116A17F" w14:textId="6F8E2865" w:rsidR="00296272" w:rsidRPr="000D25DC" w:rsidRDefault="00296272" w:rsidP="007F72B1">
      <w:pPr>
        <w:pStyle w:val="Charttitle"/>
        <w:ind w:left="992" w:hanging="992"/>
      </w:pPr>
      <w:bookmarkStart w:id="6" w:name="_Ref508536185"/>
      <w:r>
        <w:t xml:space="preserve">New wind generation capacity </w:t>
      </w:r>
      <w:r w:rsidR="00283A7B">
        <w:t>grows much more quickly under the 2DS climate scenario than under business as usual</w:t>
      </w:r>
      <w:bookmarkEnd w:id="6"/>
    </w:p>
    <w:p w14:paraId="51E7F675" w14:textId="0586D6CD" w:rsidR="00296272" w:rsidRPr="00D74736" w:rsidRDefault="00BF0B5D" w:rsidP="00296272">
      <w:pPr>
        <w:keepNext/>
        <w:spacing w:before="240" w:after="240" w:line="240" w:lineRule="auto"/>
        <w:jc w:val="center"/>
        <w:rPr>
          <w:rStyle w:val="PlaceholderText"/>
          <w:b/>
        </w:rPr>
      </w:pPr>
      <w:r w:rsidRPr="00BF0B5D">
        <w:rPr>
          <w:rStyle w:val="PlaceholderText"/>
        </w:rPr>
        <w:drawing>
          <wp:inline distT="0" distB="0" distL="0" distR="0" wp14:anchorId="416BBFB4" wp14:editId="17A0A3A0">
            <wp:extent cx="4259580" cy="2552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6FD">
        <w:rPr>
          <w:rStyle w:val="PlaceholderText"/>
        </w:rPr>
        <w:br/>
      </w:r>
      <m:oMathPara>
        <m:oMath>
          <m:sSub>
            <m:sSubPr>
              <m:ctrlPr>
                <w:rPr>
                  <w:rStyle w:val="PlaceholderText"/>
                  <w:rFonts w:ascii="Cambria Math" w:hAnsi="Cambria Math"/>
                  <w:b/>
                  <w:i/>
                </w:rPr>
              </m:ctrlPr>
            </m:sSubPr>
            <m:e>
              <m:sSup>
                <m:sSupPr>
                  <m:ctrlPr>
                    <w:rPr>
                      <w:rStyle w:val="PlaceholderText"/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PlaceholderText"/>
                      <w:rFonts w:ascii="Cambria Math" w:hAnsi="Cambria Math"/>
                    </w:rPr>
                    <m:t>Market quantity</m:t>
                  </m:r>
                </m:e>
                <m:sup>
                  <m:r>
                    <m:rPr>
                      <m:sty m:val="bi"/>
                    </m:rPr>
                    <w:rPr>
                      <w:rStyle w:val="PlaceholderText"/>
                      <w:rFonts w:ascii="Cambria Math" w:hAnsi="Cambria Math"/>
                    </w:rPr>
                    <m:t>2020</m:t>
                  </m:r>
                </m:sup>
              </m:sSup>
            </m:e>
            <m:sub>
              <m:r>
                <m:rPr>
                  <m:sty m:val="bi"/>
                </m:rPr>
                <w:rPr>
                  <w:rStyle w:val="PlaceholderText"/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Style w:val="PlaceholderText"/>
                  <w:rFonts w:ascii="Cambria Math" w:hAnsi="Cambria Math"/>
                </w:rPr>
                <m:t>DS</m:t>
              </m:r>
            </m:sub>
          </m:sSub>
          <m:r>
            <m:rPr>
              <m:sty m:val="bi"/>
            </m:rPr>
            <w:rPr>
              <w:rStyle w:val="PlaceholderText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PlaceholderText"/>
                  <w:rFonts w:ascii="Cambria Math" w:hAnsi="Cambria Math"/>
                  <w:b/>
                  <w:i/>
                </w:rPr>
              </m:ctrlPr>
            </m:sSubPr>
            <m:e>
              <m:sSup>
                <m:sSupPr>
                  <m:ctrlPr>
                    <w:rPr>
                      <w:rStyle w:val="PlaceholderText"/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PlaceholderText"/>
                      <w:rFonts w:ascii="Cambria Math" w:hAnsi="Cambria Math"/>
                    </w:rPr>
                    <m:t>Market quantity</m:t>
                  </m:r>
                </m:e>
                <m:sup>
                  <m:r>
                    <m:rPr>
                      <m:sty m:val="bi"/>
                    </m:rPr>
                    <w:rPr>
                      <w:rStyle w:val="PlaceholderText"/>
                      <w:rFonts w:ascii="Cambria Math" w:hAnsi="Cambria Math"/>
                    </w:rPr>
                    <m:t>2020</m:t>
                  </m:r>
                </m:sup>
              </m:sSup>
            </m:e>
            <m:sub>
              <m:r>
                <m:rPr>
                  <m:sty m:val="bi"/>
                </m:rPr>
                <w:rPr>
                  <w:rStyle w:val="PlaceholderText"/>
                  <w:rFonts w:ascii="Cambria Math" w:hAnsi="Cambria Math"/>
                </w:rPr>
                <m:t>BAU</m:t>
              </m:r>
            </m:sub>
          </m:sSub>
          <m:r>
            <m:rPr>
              <m:sty m:val="bi"/>
            </m:rPr>
            <w:rPr>
              <w:rStyle w:val="PlaceholderText"/>
              <w:rFonts w:ascii="Cambria Math" w:hAnsi="Cambria Math"/>
            </w:rPr>
            <m:t>×</m:t>
          </m:r>
          <m:f>
            <m:fPr>
              <m:ctrlPr>
                <w:rPr>
                  <w:rStyle w:val="PlaceholderText"/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PlaceholderText"/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Style w:val="PlaceholderText"/>
                  <w:rFonts w:ascii="Cambria Math" w:hAnsi="Cambria Math"/>
                </w:rPr>
                <m:t>B</m:t>
              </m:r>
            </m:den>
          </m:f>
        </m:oMath>
      </m:oMathPara>
    </w:p>
    <w:p w14:paraId="4AE6CA75" w14:textId="128447E3" w:rsidR="00296272" w:rsidRDefault="00296272" w:rsidP="000A2D8A">
      <w:pPr>
        <w:pStyle w:val="Note"/>
        <w:spacing w:line="240" w:lineRule="auto"/>
      </w:pPr>
      <w:r>
        <w:t>Note:</w:t>
      </w:r>
      <w:r>
        <w:tab/>
      </w:r>
      <w:r w:rsidR="00826E1A">
        <w:t>Excel l</w:t>
      </w:r>
      <w:r w:rsidR="00283A7B">
        <w:t>ink</w:t>
      </w:r>
      <w:r w:rsidR="00547078">
        <w:t xml:space="preserve"> below; data shown is new capacity added per annum (all regions, by scenario</w:t>
      </w:r>
      <w:r w:rsidR="00792162">
        <w:t>)</w:t>
      </w:r>
      <w:r w:rsidR="000A2D8A">
        <w:t xml:space="preserve"> </w:t>
      </w:r>
      <w:hyperlink r:id="rId15" w:history="1">
        <w:r w:rsidR="000A2D8A" w:rsidRPr="00CE1175">
          <w:rPr>
            <w:rStyle w:val="Hyperlink"/>
          </w:rPr>
          <w:t>https://vivideconomics.sharepoint.com/:x:/s/proje</w:t>
        </w:r>
        <w:r w:rsidR="000A2D8A" w:rsidRPr="00CE1175">
          <w:rPr>
            <w:rStyle w:val="Hyperlink"/>
          </w:rPr>
          <w:t>c</w:t>
        </w:r>
        <w:r w:rsidR="000A2D8A" w:rsidRPr="00CE1175">
          <w:rPr>
            <w:rStyle w:val="Hyperlink"/>
          </w:rPr>
          <w:t>ts/171211HSB/EadSu9Uee0BAv76VhGoHILEBoM5BQlr3AucmYCxaODmKlg?e=QXtwlP</w:t>
        </w:r>
      </w:hyperlink>
    </w:p>
    <w:p w14:paraId="12F1D02F" w14:textId="4FD7DDEC" w:rsidR="00296272" w:rsidRPr="005A132E" w:rsidRDefault="00296272" w:rsidP="00D27FF8">
      <w:pPr>
        <w:pStyle w:val="Source"/>
      </w:pPr>
      <w:r w:rsidRPr="005A132E">
        <w:t>Source:</w:t>
      </w:r>
      <w:r>
        <w:tab/>
      </w:r>
      <w:r w:rsidR="00283A7B">
        <w:t>Vivid Economics</w:t>
      </w:r>
    </w:p>
    <w:p w14:paraId="785BDFDD" w14:textId="77777777" w:rsidR="003F3753" w:rsidRDefault="00166FF8" w:rsidP="00D2013D">
      <w:r w:rsidRPr="002D1D42">
        <w:rPr>
          <w:b/>
        </w:rPr>
        <w:t>Future</w:t>
      </w:r>
      <w:r w:rsidR="002D1D42" w:rsidRPr="002D1D42">
        <w:rPr>
          <w:b/>
        </w:rPr>
        <w:t xml:space="preserve"> market share is</w:t>
      </w:r>
      <w:r w:rsidR="004906D8">
        <w:rPr>
          <w:b/>
        </w:rPr>
        <w:t xml:space="preserve"> modelled based on current market share and company intellectual property </w:t>
      </w:r>
      <w:r w:rsidR="003C1191">
        <w:rPr>
          <w:b/>
        </w:rPr>
        <w:t xml:space="preserve">(IP) </w:t>
      </w:r>
      <w:r w:rsidR="004906D8">
        <w:rPr>
          <w:b/>
        </w:rPr>
        <w:t>portfolios</w:t>
      </w:r>
      <w:r w:rsidR="002D1D42" w:rsidRPr="002D1D42">
        <w:rPr>
          <w:b/>
        </w:rPr>
        <w:t>.</w:t>
      </w:r>
      <w:r w:rsidR="002D1D42" w:rsidRPr="002D1D42">
        <w:t xml:space="preserve"> </w:t>
      </w:r>
      <w:r w:rsidR="00E527D1">
        <w:t xml:space="preserve">IP </w:t>
      </w:r>
      <w:r w:rsidR="00E92375">
        <w:t xml:space="preserve">portfolio size </w:t>
      </w:r>
      <w:r w:rsidR="00E527D1">
        <w:t xml:space="preserve">is </w:t>
      </w:r>
      <w:r w:rsidR="00E92375">
        <w:t xml:space="preserve">a leading indicator </w:t>
      </w:r>
      <w:r w:rsidR="00E527D1">
        <w:t xml:space="preserve">for market share growth in green </w:t>
      </w:r>
      <w:r w:rsidR="006B7A96">
        <w:t xml:space="preserve">technology </w:t>
      </w:r>
      <w:r w:rsidR="00E527D1">
        <w:t xml:space="preserve">sectors as evidenced by </w:t>
      </w:r>
      <w:commentRangeStart w:id="7"/>
      <w:r w:rsidR="00E527D1" w:rsidRPr="00E527D1">
        <w:rPr>
          <w:highlight w:val="yellow"/>
        </w:rPr>
        <w:t>X</w:t>
      </w:r>
      <w:commentRangeEnd w:id="7"/>
      <w:r w:rsidR="00E527D1">
        <w:rPr>
          <w:rStyle w:val="CommentReference"/>
        </w:rPr>
        <w:commentReference w:id="7"/>
      </w:r>
      <w:r w:rsidR="00E92375">
        <w:t>.</w:t>
      </w:r>
      <w:r w:rsidR="008166D9">
        <w:t xml:space="preserve"> </w:t>
      </w:r>
      <w:r w:rsidR="00ED0ABA">
        <w:t xml:space="preserve">The effect of </w:t>
      </w:r>
      <w:r w:rsidR="00D460E2">
        <w:t xml:space="preserve">patent portfolios on market share is greater </w:t>
      </w:r>
      <w:r w:rsidR="00C43957" w:rsidRPr="00C43957">
        <w:rPr>
          <w:highlight w:val="yellow"/>
        </w:rPr>
        <w:t>Y years</w:t>
      </w:r>
      <w:r w:rsidR="00C43957">
        <w:t xml:space="preserve"> into the future, than it is today, as innovations take time to reach market.</w:t>
      </w:r>
      <w:r w:rsidR="00676966">
        <w:t xml:space="preserve"> This </w:t>
      </w:r>
      <w:commentRangeStart w:id="8"/>
      <w:r w:rsidR="00676966" w:rsidRPr="00676966">
        <w:rPr>
          <w:highlight w:val="yellow"/>
        </w:rPr>
        <w:t>does</w:t>
      </w:r>
      <w:r w:rsidR="00676966">
        <w:t xml:space="preserve"> </w:t>
      </w:r>
      <w:commentRangeEnd w:id="8"/>
      <w:r w:rsidR="002A6411">
        <w:rPr>
          <w:rStyle w:val="CommentReference"/>
        </w:rPr>
        <w:commentReference w:id="8"/>
      </w:r>
      <w:r w:rsidR="00676966">
        <w:t xml:space="preserve">vary across </w:t>
      </w:r>
      <w:r w:rsidR="007B5270">
        <w:t xml:space="preserve">green </w:t>
      </w:r>
      <w:r w:rsidR="00676966">
        <w:t xml:space="preserve">sectors to reflect the length of different </w:t>
      </w:r>
      <w:r w:rsidR="00530B45">
        <w:t xml:space="preserve">technology </w:t>
      </w:r>
      <w:r w:rsidR="00676966">
        <w:t>life</w:t>
      </w:r>
      <w:r w:rsidR="00530B45">
        <w:t>-</w:t>
      </w:r>
      <w:r w:rsidR="00676966">
        <w:t>cycles</w:t>
      </w:r>
      <w:r w:rsidR="007C2A53">
        <w:t>.</w:t>
      </w:r>
      <w:r w:rsidR="00676966">
        <w:t xml:space="preserve"> </w:t>
      </w:r>
      <w:r w:rsidR="007C2A53">
        <w:t>F</w:t>
      </w:r>
      <w:r w:rsidR="00676966">
        <w:t xml:space="preserve">or instance, </w:t>
      </w:r>
      <w:r w:rsidR="007C2A53">
        <w:t xml:space="preserve">in non-green sectors </w:t>
      </w:r>
      <w:r w:rsidR="00091EAB">
        <w:t xml:space="preserve">semiconductor chips </w:t>
      </w:r>
      <w:r w:rsidR="007C2A53">
        <w:t>have a much shorter development cycle than</w:t>
      </w:r>
      <w:r w:rsidR="00091EAB">
        <w:t xml:space="preserve"> </w:t>
      </w:r>
      <w:r w:rsidR="007C2A53">
        <w:t xml:space="preserve">new </w:t>
      </w:r>
      <w:r w:rsidR="007B5270">
        <w:t>cancer treatment</w:t>
      </w:r>
      <w:r w:rsidR="007C2A53">
        <w:t>s</w:t>
      </w:r>
      <w:r w:rsidR="007B5270">
        <w:t>.</w:t>
      </w:r>
    </w:p>
    <w:p w14:paraId="08198A29" w14:textId="77777777" w:rsidR="003F3753" w:rsidRDefault="003F3753" w:rsidP="00D2013D"/>
    <w:p w14:paraId="3699293C" w14:textId="267DE960" w:rsidR="007A2CFA" w:rsidRDefault="00FC6EBE" w:rsidP="00D2013D">
      <w:r w:rsidRPr="003F3753">
        <w:rPr>
          <w:b/>
        </w:rPr>
        <w:fldChar w:fldCharType="begin"/>
      </w:r>
      <w:r w:rsidRPr="003F3753">
        <w:rPr>
          <w:b/>
        </w:rPr>
        <w:instrText xml:space="preserve"> REF _Ref508616753 \r \h </w:instrText>
      </w:r>
      <w:r w:rsidRPr="003F3753">
        <w:rPr>
          <w:b/>
        </w:rPr>
      </w:r>
      <w:r w:rsidR="009A44E8" w:rsidRPr="003F3753">
        <w:rPr>
          <w:b/>
        </w:rPr>
        <w:instrText xml:space="preserve"> \* MERGEFORMAT </w:instrText>
      </w:r>
      <w:r w:rsidRPr="003F3753">
        <w:rPr>
          <w:b/>
        </w:rPr>
        <w:fldChar w:fldCharType="separate"/>
      </w:r>
      <w:r w:rsidRPr="003F3753">
        <w:rPr>
          <w:b/>
        </w:rPr>
        <w:t>Figure 2</w:t>
      </w:r>
      <w:r w:rsidRPr="003F3753">
        <w:rPr>
          <w:b/>
        </w:rPr>
        <w:fldChar w:fldCharType="end"/>
      </w:r>
      <w:r w:rsidR="00E03EAC" w:rsidRPr="003F3753">
        <w:rPr>
          <w:b/>
        </w:rPr>
        <w:t xml:space="preserve"> shows the effect of Vestas’s greater than industry average patent portfolio on its market share from 2016 to 2040</w:t>
      </w:r>
      <w:r w:rsidR="003F3753" w:rsidRPr="003F3753">
        <w:rPr>
          <w:b/>
        </w:rPr>
        <w:t>.</w:t>
      </w:r>
      <w:r w:rsidRPr="009A44E8">
        <w:t xml:space="preserve"> </w:t>
      </w:r>
      <w:r w:rsidR="003F3753">
        <w:t>I</w:t>
      </w:r>
      <w:r w:rsidR="009A44E8" w:rsidRPr="009A44E8">
        <w:t>n 2025, Vestas’ market share is slightly higher than its current market share, at 16%, while in 2040, it is considerably higher at 27%</w:t>
      </w:r>
      <w:r w:rsidR="00E03EAC" w:rsidRPr="009A44E8">
        <w:t>.</w:t>
      </w:r>
      <w:r w:rsidR="009A44E8">
        <w:t xml:space="preserve"> Current market share has a large impact on market share in 2025, but only a moderate effect in 2040. Conversely, the leading indicator, IP portfolio, has little effect on market share in 2025, but a significant effect in 2040.</w:t>
      </w:r>
      <w:r w:rsidR="00274C8F">
        <w:t xml:space="preserve"> </w:t>
      </w:r>
      <w:r w:rsidR="000D35B6">
        <w:t xml:space="preserve">The size of each company’s </w:t>
      </w:r>
      <w:r w:rsidR="003C1191">
        <w:t>IP asset base</w:t>
      </w:r>
      <w:r w:rsidR="000D35B6">
        <w:t xml:space="preserve"> is defined as the number of patents a company owns under relevant IPC categories.</w:t>
      </w:r>
    </w:p>
    <w:p w14:paraId="78A7A872" w14:textId="7C7E2CF9" w:rsidR="007A2CFA" w:rsidRPr="000D25DC" w:rsidRDefault="007A2CFA" w:rsidP="007F72B1">
      <w:pPr>
        <w:pStyle w:val="Charttitle"/>
        <w:ind w:left="992" w:hanging="992"/>
      </w:pPr>
      <w:bookmarkStart w:id="9" w:name="_Ref508616753"/>
      <w:r>
        <w:t xml:space="preserve">The effect of </w:t>
      </w:r>
      <w:r w:rsidR="00292B06">
        <w:t xml:space="preserve">IP </w:t>
      </w:r>
      <w:r>
        <w:t xml:space="preserve">portfolio size on </w:t>
      </w:r>
      <w:r w:rsidR="0092725F">
        <w:t>market share strengthens over time</w:t>
      </w:r>
      <w:r w:rsidR="00710AD5">
        <w:t>, while that of current market share diminishes</w:t>
      </w:r>
      <w:bookmarkEnd w:id="9"/>
    </w:p>
    <w:p w14:paraId="45E99302" w14:textId="317B1261" w:rsidR="007A2CFA" w:rsidRPr="00430244" w:rsidRDefault="00710AD5" w:rsidP="00710AD5">
      <w:pPr>
        <w:pStyle w:val="Chartspacer"/>
        <w:keepNext/>
        <w:jc w:val="center"/>
        <w:rPr>
          <w:rStyle w:val="PlaceholderText"/>
        </w:rPr>
      </w:pPr>
      <w:r w:rsidRPr="00710AD5">
        <w:drawing>
          <wp:inline distT="0" distB="0" distL="0" distR="0" wp14:anchorId="597CF205" wp14:editId="4BF88946">
            <wp:extent cx="3958564" cy="255600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8564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94FC" w14:textId="0145609D" w:rsidR="007A2CFA" w:rsidRDefault="007A2CFA" w:rsidP="0028128B">
      <w:pPr>
        <w:pStyle w:val="Note"/>
      </w:pPr>
      <w:r>
        <w:t>Note:</w:t>
      </w:r>
      <w:r>
        <w:tab/>
      </w:r>
      <w:r w:rsidR="00B60CAE">
        <w:t>Dubious Exce</w:t>
      </w:r>
      <w:r w:rsidR="00780372">
        <w:t>l-</w:t>
      </w:r>
      <w:r w:rsidR="00B60CAE">
        <w:t>based chart at the link below:</w:t>
      </w:r>
      <w:r w:rsidR="00B60CAE">
        <w:br/>
      </w:r>
      <w:hyperlink r:id="rId17" w:history="1">
        <w:r w:rsidR="00B60CAE" w:rsidRPr="00CE1175">
          <w:rPr>
            <w:rStyle w:val="Hyperlink"/>
          </w:rPr>
          <w:t>https://vivideconomics.sharepoint.com/:x:/s/projects/171211HSB/EadSu9Uee0BAv76VhGoHILEBoM5BQlr3AucmYCxaODmKlg?e=QXtwlP</w:t>
        </w:r>
      </w:hyperlink>
    </w:p>
    <w:p w14:paraId="6695588B" w14:textId="3411A9DA" w:rsidR="007A2CFA" w:rsidRPr="005A132E" w:rsidRDefault="007A2CFA" w:rsidP="00D27FF8">
      <w:pPr>
        <w:pStyle w:val="Source"/>
      </w:pPr>
      <w:r w:rsidRPr="005A132E">
        <w:t>Source:</w:t>
      </w:r>
      <w:r>
        <w:tab/>
      </w:r>
      <w:r w:rsidR="00B60CAE">
        <w:t>Vivid Economics</w:t>
      </w:r>
    </w:p>
    <w:p w14:paraId="4576F7D5" w14:textId="14C1D8A1" w:rsidR="00E16FE3" w:rsidRDefault="00E338AB" w:rsidP="00D2013D">
      <w:r w:rsidRPr="003A0FD4">
        <w:rPr>
          <w:b/>
        </w:rPr>
        <w:t xml:space="preserve">Future market size and market share allows company revenue to be </w:t>
      </w:r>
      <w:r w:rsidR="008513CF" w:rsidRPr="003A0FD4">
        <w:rPr>
          <w:b/>
        </w:rPr>
        <w:t>modelled under each scenario, from 2017 – 2050.</w:t>
      </w:r>
      <w:r w:rsidR="008513CF">
        <w:t xml:space="preserve"> </w:t>
      </w:r>
      <w:r w:rsidR="003A0FD4">
        <w:t xml:space="preserve">Profits are </w:t>
      </w:r>
      <w:r w:rsidR="00ED0C67">
        <w:t xml:space="preserve">then </w:t>
      </w:r>
      <w:r w:rsidR="003A0FD4">
        <w:t xml:space="preserve">estimated by assuming that </w:t>
      </w:r>
      <w:r w:rsidR="00B67959">
        <w:t>quantity growth has no effect on company profit margins (standard economic assumption of constant marginal (and unit) cost.</w:t>
      </w:r>
      <w:r w:rsidR="00062A3E">
        <w:t xml:space="preserve"> The net present value of these profits compared to each company’s market capitalisation yields the value impairment (gain) index for </w:t>
      </w:r>
      <w:r w:rsidR="00B435C3">
        <w:t>companies active in green sectors.</w:t>
      </w:r>
    </w:p>
    <w:p w14:paraId="6BA06609" w14:textId="7E544C8A" w:rsidR="007637AF" w:rsidRDefault="007637AF" w:rsidP="00D2013D"/>
    <w:p w14:paraId="4DFFA3DC" w14:textId="3E6009F7" w:rsidR="00B2354D" w:rsidRPr="003B00E8" w:rsidRDefault="007637AF" w:rsidP="007637AF">
      <w:pPr>
        <w:rPr>
          <w:b/>
        </w:rPr>
      </w:pPr>
      <w:r w:rsidRPr="003B00E8">
        <w:rPr>
          <w:b/>
          <w:highlight w:val="yellow"/>
        </w:rPr>
        <w:t>N</w:t>
      </w:r>
      <w:r w:rsidR="00B2354D" w:rsidRPr="003B00E8">
        <w:rPr>
          <w:b/>
          <w:highlight w:val="yellow"/>
        </w:rPr>
        <w:t>ote the following</w:t>
      </w:r>
      <w:r w:rsidR="00FE0BDC" w:rsidRPr="003B00E8">
        <w:rPr>
          <w:b/>
          <w:highlight w:val="yellow"/>
        </w:rPr>
        <w:t>:</w:t>
      </w:r>
    </w:p>
    <w:p w14:paraId="54D55A13" w14:textId="596A829E" w:rsidR="005838AA" w:rsidRPr="003B00E8" w:rsidRDefault="005838AA" w:rsidP="003B00E8">
      <w:pPr>
        <w:pStyle w:val="ListParagraph"/>
        <w:numPr>
          <w:ilvl w:val="0"/>
          <w:numId w:val="17"/>
        </w:numPr>
      </w:pPr>
      <w:r w:rsidRPr="003B00E8">
        <w:rPr>
          <w:highlight w:val="yellow"/>
        </w:rPr>
        <w:t>No assessment</w:t>
      </w:r>
      <w:r w:rsidR="003B00E8" w:rsidRPr="003B00E8">
        <w:rPr>
          <w:highlight w:val="yellow"/>
        </w:rPr>
        <w:t xml:space="preserve"> or adjustments for</w:t>
      </w:r>
      <w:r w:rsidRPr="003B00E8">
        <w:rPr>
          <w:highlight w:val="yellow"/>
        </w:rPr>
        <w:t xml:space="preserve"> </w:t>
      </w:r>
      <w:r w:rsidR="003B00E8" w:rsidRPr="003B00E8">
        <w:rPr>
          <w:highlight w:val="yellow"/>
        </w:rPr>
        <w:t xml:space="preserve">existing </w:t>
      </w:r>
      <w:r w:rsidRPr="003B00E8">
        <w:rPr>
          <w:highlight w:val="yellow"/>
        </w:rPr>
        <w:t>pricing in of climate scenarios</w:t>
      </w:r>
      <w:r w:rsidRPr="003B00E8">
        <w:t xml:space="preserve"> has been made</w:t>
      </w:r>
      <w:r w:rsidR="003B00E8" w:rsidRPr="003B00E8">
        <w:br/>
        <w:t>T</w:t>
      </w:r>
      <w:r w:rsidRPr="003B00E8">
        <w:t xml:space="preserve">his </w:t>
      </w:r>
      <w:r w:rsidR="003B00E8" w:rsidRPr="003B00E8">
        <w:t xml:space="preserve">may be more </w:t>
      </w:r>
      <w:r w:rsidRPr="003B00E8">
        <w:t xml:space="preserve">problematic </w:t>
      </w:r>
      <w:r w:rsidR="003B00E8" w:rsidRPr="003B00E8">
        <w:t xml:space="preserve">for </w:t>
      </w:r>
      <w:r w:rsidRPr="003B00E8">
        <w:t xml:space="preserve">green </w:t>
      </w:r>
      <w:r w:rsidR="003B00E8" w:rsidRPr="003B00E8">
        <w:t>sectors relative to traditional sectors</w:t>
      </w:r>
      <w:r w:rsidRPr="003B00E8">
        <w:t xml:space="preserve">, as the </w:t>
      </w:r>
      <w:r w:rsidR="003B00E8" w:rsidRPr="003B00E8">
        <w:t xml:space="preserve">market </w:t>
      </w:r>
      <w:r w:rsidRPr="003B00E8">
        <w:t xml:space="preserve">valuation of </w:t>
      </w:r>
      <w:r w:rsidR="003B00E8" w:rsidRPr="003B00E8">
        <w:t>these c</w:t>
      </w:r>
      <w:r w:rsidRPr="003B00E8">
        <w:t xml:space="preserve">ompanies </w:t>
      </w:r>
      <w:r w:rsidR="003B00E8" w:rsidRPr="003B00E8">
        <w:t>will vary more between BAU and 2DS</w:t>
      </w:r>
    </w:p>
    <w:p w14:paraId="5F6C0753" w14:textId="77777777" w:rsidR="003B00E8" w:rsidRDefault="003B00E8" w:rsidP="00D2013D">
      <w:pPr>
        <w:pStyle w:val="ListParagraph"/>
        <w:numPr>
          <w:ilvl w:val="0"/>
          <w:numId w:val="17"/>
        </w:numPr>
      </w:pPr>
      <w:r w:rsidRPr="00073C3F">
        <w:rPr>
          <w:highlight w:val="yellow"/>
        </w:rPr>
        <w:t>P</w:t>
      </w:r>
      <w:r w:rsidR="007637AF" w:rsidRPr="00073C3F">
        <w:rPr>
          <w:highlight w:val="yellow"/>
        </w:rPr>
        <w:t>atent portfolio-market share story must be consistent with BAU (reference) scenario profits</w:t>
      </w:r>
      <w:r w:rsidR="007637AF" w:rsidRPr="003B00E8">
        <w:t xml:space="preserve"> equalling market cap in net present value terms (as in the ‘downside’ model)</w:t>
      </w:r>
      <w:r>
        <w:t>:</w:t>
      </w:r>
    </w:p>
    <w:p w14:paraId="46012247" w14:textId="5EFDC998" w:rsidR="003B00E8" w:rsidRPr="003B00E8" w:rsidRDefault="003B00E8" w:rsidP="003B00E8">
      <w:pPr>
        <w:pStyle w:val="ListParagraph"/>
        <w:numPr>
          <w:ilvl w:val="1"/>
          <w:numId w:val="17"/>
        </w:numPr>
        <w:rPr>
          <w:rStyle w:val="CommentReference"/>
          <w:sz w:val="22"/>
          <w:szCs w:val="22"/>
        </w:rPr>
      </w:pPr>
      <w:r>
        <w:rPr>
          <w:rStyle w:val="CommentReference"/>
          <w:sz w:val="22"/>
          <w:szCs w:val="22"/>
        </w:rPr>
        <w:t xml:space="preserve">Market share varies over time, but not </w:t>
      </w:r>
      <w:r>
        <w:rPr>
          <w:rStyle w:val="CommentReference"/>
          <w:i/>
          <w:sz w:val="22"/>
          <w:szCs w:val="22"/>
        </w:rPr>
        <w:t>across</w:t>
      </w:r>
      <w:r>
        <w:rPr>
          <w:rStyle w:val="CommentReference"/>
          <w:sz w:val="22"/>
          <w:szCs w:val="22"/>
        </w:rPr>
        <w:t xml:space="preserve"> scenarios</w:t>
      </w:r>
    </w:p>
    <w:p w14:paraId="03094086" w14:textId="6F79472A" w:rsidR="007637AF" w:rsidRDefault="003B00E8" w:rsidP="003B00E8">
      <w:pPr>
        <w:pStyle w:val="ListParagraph"/>
        <w:numPr>
          <w:ilvl w:val="1"/>
          <w:numId w:val="17"/>
        </w:numPr>
      </w:pPr>
      <w:r>
        <w:t xml:space="preserve">The only difference between scenarios is from market size growth as in </w:t>
      </w:r>
      <w:r>
        <w:fldChar w:fldCharType="begin"/>
      </w:r>
      <w:r>
        <w:instrText xml:space="preserve"> REF _Ref508536185 \r \h </w:instrText>
      </w:r>
      <w:r>
        <w:fldChar w:fldCharType="separate"/>
      </w:r>
      <w:r>
        <w:t>Figure 1</w:t>
      </w:r>
      <w:r>
        <w:fldChar w:fldCharType="end"/>
      </w:r>
    </w:p>
    <w:p w14:paraId="1AAC103E" w14:textId="0157122E" w:rsidR="003B00E8" w:rsidRDefault="00E61A1F" w:rsidP="003B00E8">
      <w:pPr>
        <w:pStyle w:val="ListParagraph"/>
        <w:numPr>
          <w:ilvl w:val="1"/>
          <w:numId w:val="17"/>
        </w:numPr>
      </w:pPr>
      <w:r>
        <w:t xml:space="preserve">Having a large patent portfolio may still benefit companies, because a larger proportion of their profits occur in the future, where </w:t>
      </w:r>
      <w:r w:rsidR="00AC3D6C">
        <w:t>change in market size from 2DS is higher</w:t>
      </w:r>
    </w:p>
    <w:p w14:paraId="04612EC7" w14:textId="761DA0F2" w:rsidR="00AC3D6C" w:rsidRDefault="00AC3D6C" w:rsidP="003B00E8">
      <w:pPr>
        <w:pStyle w:val="ListParagraph"/>
        <w:numPr>
          <w:ilvl w:val="1"/>
          <w:numId w:val="17"/>
        </w:numPr>
      </w:pPr>
      <w:r>
        <w:t>However, this is an indirect channel, and the effects on valuation may be small</w:t>
      </w:r>
    </w:p>
    <w:p w14:paraId="6A6E4173" w14:textId="6A1E225E" w:rsidR="003C6251" w:rsidRPr="003C6251" w:rsidRDefault="00073C3F" w:rsidP="003C6251">
      <w:pPr>
        <w:pStyle w:val="ListParagraph"/>
        <w:numPr>
          <w:ilvl w:val="1"/>
          <w:numId w:val="17"/>
        </w:numPr>
      </w:pPr>
      <w:r w:rsidRPr="00073C3F">
        <w:rPr>
          <w:highlight w:val="yellow"/>
        </w:rPr>
        <w:t>Either resolve or drop patent data methodology</w:t>
      </w:r>
    </w:p>
    <w:p w14:paraId="0C56699B" w14:textId="7162EACF" w:rsidR="003C6251" w:rsidRPr="003C6251" w:rsidRDefault="00B26751" w:rsidP="003C6251">
      <w:pPr>
        <w:pStyle w:val="ListParagraph"/>
        <w:numPr>
          <w:ilvl w:val="0"/>
          <w:numId w:val="17"/>
        </w:numPr>
      </w:pPr>
      <w:r w:rsidRPr="00B26751">
        <w:rPr>
          <w:highlight w:val="yellow"/>
        </w:rPr>
        <w:t xml:space="preserve">Cannot </w:t>
      </w:r>
      <w:bookmarkStart w:id="10" w:name="_GoBack"/>
      <w:bookmarkEnd w:id="10"/>
      <w:r w:rsidRPr="00B26751">
        <w:rPr>
          <w:highlight w:val="yellow"/>
        </w:rPr>
        <w:t>assess the extent to which MSCI companies take market share from the wider industry</w:t>
      </w:r>
      <w:r>
        <w:t xml:space="preserve"> (based on IP portfolio), as we do not know initial MSCI quantity relative to the industry</w:t>
      </w:r>
    </w:p>
    <w:p w14:paraId="2AA009A8" w14:textId="742D6D04" w:rsidR="00274C8F" w:rsidRDefault="00274C8F" w:rsidP="00D2013D"/>
    <w:p w14:paraId="54EF0087" w14:textId="78A797F6" w:rsidR="001174B6" w:rsidRDefault="00D2013D" w:rsidP="00D2013D">
      <w:pPr>
        <w:pStyle w:val="Heading3"/>
      </w:pPr>
      <w:bookmarkStart w:id="11" w:name="_Ref508360577"/>
      <w:r>
        <w:t>Model steps</w:t>
      </w:r>
      <w:bookmarkEnd w:id="11"/>
    </w:p>
    <w:p w14:paraId="507DBE0A" w14:textId="095CF50B" w:rsidR="00D2013D" w:rsidRPr="008166D9" w:rsidRDefault="008166D9" w:rsidP="008166D9">
      <w:pPr>
        <w:pStyle w:val="ListParagraph"/>
        <w:numPr>
          <w:ilvl w:val="0"/>
          <w:numId w:val="19"/>
        </w:numPr>
        <w:rPr>
          <w:highlight w:val="yellow"/>
        </w:rPr>
      </w:pPr>
      <w:r w:rsidRPr="008166D9">
        <w:rPr>
          <w:highlight w:val="yellow"/>
        </w:rPr>
        <w:t>TB</w:t>
      </w:r>
      <w:r>
        <w:rPr>
          <w:highlight w:val="yellow"/>
        </w:rPr>
        <w:t>C</w:t>
      </w:r>
      <w:r w:rsidRPr="008166D9">
        <w:rPr>
          <w:highlight w:val="yellow"/>
        </w:rPr>
        <w:t xml:space="preserve"> (once we have a model)</w:t>
      </w:r>
    </w:p>
    <w:sectPr w:rsidR="00D2013D" w:rsidRPr="008166D9" w:rsidSect="002C2240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1077" w:footer="34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hyamal Patel" w:date="2018-03-09T15:50:00Z" w:initials="SP">
    <w:p w14:paraId="3CA71D9B" w14:textId="18920EB1" w:rsidR="00324445" w:rsidRDefault="00324445">
      <w:pPr>
        <w:pStyle w:val="CommentText"/>
      </w:pPr>
      <w:r>
        <w:rPr>
          <w:rStyle w:val="CommentReference"/>
        </w:rPr>
        <w:annotationRef/>
      </w:r>
      <w:r>
        <w:t xml:space="preserve">Report </w:t>
      </w:r>
      <w:r w:rsidR="00BC413B">
        <w:t xml:space="preserve">the </w:t>
      </w:r>
      <w:r>
        <w:t>share of MSCI index market cap that the sectors cover.</w:t>
      </w:r>
    </w:p>
  </w:comment>
  <w:comment w:id="2" w:author="Shyamal Patel" w:date="2018-03-09T17:31:00Z" w:initials="SP">
    <w:p w14:paraId="7CF8E77A" w14:textId="76CB00AB" w:rsidR="003A1590" w:rsidRDefault="003A1590">
      <w:pPr>
        <w:pStyle w:val="CommentText"/>
      </w:pPr>
      <w:r>
        <w:rPr>
          <w:rStyle w:val="CommentReference"/>
        </w:rPr>
        <w:annotationRef/>
      </w:r>
      <w:hyperlink r:id="rId1" w:history="1">
        <w:r w:rsidRPr="00CE1175">
          <w:rPr>
            <w:rStyle w:val="Hyperlink"/>
          </w:rPr>
          <w:t>https://vivideconomics.sharepoint.com/:f:/s/projects/171211HSB/Er467wlsRG9JoEVxCQ-u9akBWc7DZ-RVQrUS2SEDz_90iQ?e=vbtdic</w:t>
        </w:r>
      </w:hyperlink>
    </w:p>
  </w:comment>
  <w:comment w:id="3" w:author="Shyamal Patel" w:date="2018-03-09T17:35:00Z" w:initials="SP">
    <w:p w14:paraId="67733690" w14:textId="79A6B0C5" w:rsidR="0034614F" w:rsidRDefault="0034614F">
      <w:pPr>
        <w:pStyle w:val="CommentText"/>
      </w:pPr>
      <w:r>
        <w:rPr>
          <w:rStyle w:val="CommentReference"/>
        </w:rPr>
        <w:annotationRef/>
      </w:r>
      <w:hyperlink r:id="rId2" w:history="1">
        <w:r w:rsidRPr="00CE1175">
          <w:rPr>
            <w:rStyle w:val="Hyperlink"/>
          </w:rPr>
          <w:t>https://vivideconomics.sharepoint.com/:x:/s/projects/171211HSB/EczqExhcLrBAn1rnoVskra4BtJ82Z5ZBLgDoV1DdPeZlCg?e=qbGR6R</w:t>
        </w:r>
      </w:hyperlink>
    </w:p>
  </w:comment>
  <w:comment w:id="4" w:author="Shyamal Patel" w:date="2018-03-12T11:53:00Z" w:initials="SP">
    <w:p w14:paraId="6E923E1F" w14:textId="4F6594A7" w:rsidR="00E466D6" w:rsidRDefault="00E466D6">
      <w:pPr>
        <w:pStyle w:val="CommentText"/>
      </w:pPr>
      <w:r>
        <w:rPr>
          <w:rStyle w:val="CommentReference"/>
        </w:rPr>
        <w:annotationRef/>
      </w:r>
      <w:r>
        <w:t>May have to back this out based on changes in EV deployment by scenario</w:t>
      </w:r>
      <w:r w:rsidR="00057579">
        <w:t>.</w:t>
      </w:r>
    </w:p>
  </w:comment>
  <w:comment w:id="7" w:author="Shyamal Patel" w:date="2018-03-12T10:29:00Z" w:initials="SP">
    <w:p w14:paraId="765D22DC" w14:textId="4FA85708" w:rsidR="00E527D1" w:rsidRDefault="00E527D1">
      <w:pPr>
        <w:pStyle w:val="CommentText"/>
      </w:pPr>
      <w:r>
        <w:rPr>
          <w:rStyle w:val="CommentReference"/>
        </w:rPr>
        <w:annotationRef/>
      </w:r>
      <w:r>
        <w:t>Insert references based on Vivid analysis of patent and financial valuation research.</w:t>
      </w:r>
    </w:p>
  </w:comment>
  <w:comment w:id="8" w:author="Shyamal Patel" w:date="2018-03-12T11:19:00Z" w:initials="SP">
    <w:p w14:paraId="204BA3CC" w14:textId="36F51576" w:rsidR="002A6411" w:rsidRDefault="002A6411">
      <w:pPr>
        <w:pStyle w:val="CommentText"/>
      </w:pPr>
      <w:r>
        <w:rPr>
          <w:rStyle w:val="CommentReference"/>
        </w:rPr>
        <w:annotationRef/>
      </w:r>
      <w:r>
        <w:t>Can we make this work?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A71D9B" w15:done="0"/>
  <w15:commentEx w15:paraId="7CF8E77A" w15:done="0"/>
  <w15:commentEx w15:paraId="67733690" w15:done="0"/>
  <w15:commentEx w15:paraId="6E923E1F" w15:done="0"/>
  <w15:commentEx w15:paraId="765D22DC" w15:done="0"/>
  <w15:commentEx w15:paraId="204BA3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A71D9B" w16cid:durableId="1E4D2BB0"/>
  <w16cid:commentId w16cid:paraId="7CF8E77A" w16cid:durableId="1E4D436A"/>
  <w16cid:commentId w16cid:paraId="67733690" w16cid:durableId="1E4D4455"/>
  <w16cid:commentId w16cid:paraId="6E923E1F" w16cid:durableId="1E50E8D7"/>
  <w16cid:commentId w16cid:paraId="765D22DC" w16cid:durableId="1E50D51C"/>
  <w16cid:commentId w16cid:paraId="204BA3CC" w16cid:durableId="1E50E0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24E65" w14:textId="77777777" w:rsidR="00524097" w:rsidRDefault="00524097" w:rsidP="00AB14FC">
      <w:r>
        <w:separator/>
      </w:r>
    </w:p>
  </w:endnote>
  <w:endnote w:type="continuationSeparator" w:id="0">
    <w:p w14:paraId="479E2BA3" w14:textId="77777777" w:rsidR="00524097" w:rsidRDefault="00524097" w:rsidP="00AB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95FEC" w14:textId="77777777" w:rsidR="003B484E" w:rsidRPr="00AB14FC" w:rsidRDefault="00B26751" w:rsidP="00AB14FC">
    <w:pPr>
      <w:pStyle w:val="Footer"/>
      <w:jc w:val="center"/>
      <w:rPr>
        <w:rFonts w:ascii="Palatino Linotype" w:hAnsi="Palatino Linotype"/>
        <w:sz w:val="18"/>
        <w:szCs w:val="18"/>
      </w:rPr>
    </w:pPr>
    <w:sdt>
      <w:sdtPr>
        <w:id w:val="17136464"/>
        <w:docPartObj>
          <w:docPartGallery w:val="Page Numbers (Bottom of Page)"/>
          <w:docPartUnique/>
        </w:docPartObj>
      </w:sdtPr>
      <w:sdtEndPr>
        <w:rPr>
          <w:rFonts w:ascii="Palatino Linotype" w:hAnsi="Palatino Linotype"/>
          <w:sz w:val="18"/>
          <w:szCs w:val="18"/>
        </w:rPr>
      </w:sdtEndPr>
      <w:sdtContent>
        <w:r w:rsidR="003B484E" w:rsidRPr="00AB14FC">
          <w:rPr>
            <w:rFonts w:ascii="Palatino Linotype" w:hAnsi="Palatino Linotype"/>
            <w:sz w:val="18"/>
            <w:szCs w:val="18"/>
          </w:rPr>
          <w:fldChar w:fldCharType="begin"/>
        </w:r>
        <w:r w:rsidR="003B484E" w:rsidRPr="00AB14FC">
          <w:rPr>
            <w:rFonts w:ascii="Palatino Linotype" w:hAnsi="Palatino Linotype"/>
            <w:sz w:val="18"/>
            <w:szCs w:val="18"/>
          </w:rPr>
          <w:instrText xml:space="preserve"> PAGE   \* MERGEFORMAT </w:instrTex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separate"/>
        </w:r>
        <w:r w:rsidR="003B484E">
          <w:rPr>
            <w:rFonts w:ascii="Palatino Linotype" w:hAnsi="Palatino Linotype"/>
            <w:noProof/>
            <w:sz w:val="18"/>
            <w:szCs w:val="18"/>
          </w:rPr>
          <w:t>2</w: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end"/>
        </w:r>
      </w:sdtContent>
    </w:sdt>
  </w:p>
  <w:p w14:paraId="5B71BE52" w14:textId="77777777" w:rsidR="003B484E" w:rsidRDefault="003B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CB46A" w14:textId="7A683501" w:rsidR="003B484E" w:rsidRDefault="0074709F" w:rsidP="00CA54EA">
    <w:pPr>
      <w:pStyle w:val="Footer"/>
      <w:jc w:val="right"/>
    </w:pPr>
    <w:r>
      <w:t>Shyamal Patel</w:t>
    </w:r>
  </w:p>
  <w:p w14:paraId="70679E9E" w14:textId="4280601D" w:rsidR="003B484E" w:rsidRDefault="0074709F" w:rsidP="00CA54EA">
    <w:pPr>
      <w:pStyle w:val="Footer"/>
      <w:jc w:val="right"/>
    </w:pPr>
    <w:r>
      <w:t>09/03/2018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A0D2" w14:textId="77777777" w:rsidR="00524097" w:rsidRDefault="00524097" w:rsidP="00AB14FC">
      <w:r>
        <w:separator/>
      </w:r>
    </w:p>
  </w:footnote>
  <w:footnote w:type="continuationSeparator" w:id="0">
    <w:p w14:paraId="1460CC2F" w14:textId="77777777" w:rsidR="00524097" w:rsidRDefault="00524097" w:rsidP="00AB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E4F43" w14:textId="77777777" w:rsidR="003B484E" w:rsidRDefault="003B484E" w:rsidP="00696387">
    <w:pPr>
      <w:pStyle w:val="Header"/>
      <w:spacing w:line="240" w:lineRule="auto"/>
    </w:pPr>
    <w:r w:rsidRPr="00AB14FC">
      <w:drawing>
        <wp:inline distT="0" distB="0" distL="0" distR="0" wp14:anchorId="69DD4F59" wp14:editId="6A3A0290">
          <wp:extent cx="2019300" cy="200025"/>
          <wp:effectExtent l="19050" t="0" r="0" b="0"/>
          <wp:docPr id="1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9D38AE3" w14:textId="77777777" w:rsidR="003B484E" w:rsidRDefault="003B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C3FD3" w14:textId="77777777" w:rsidR="003B484E" w:rsidRDefault="003B484E" w:rsidP="00352AB1">
    <w:pPr>
      <w:pStyle w:val="Header"/>
      <w:spacing w:line="240" w:lineRule="auto"/>
    </w:pPr>
    <w:r>
      <w:drawing>
        <wp:anchor distT="0" distB="0" distL="114300" distR="114300" simplePos="0" relativeHeight="251658240" behindDoc="0" locked="0" layoutInCell="1" allowOverlap="1" wp14:anchorId="4E814A78" wp14:editId="5112B69C">
          <wp:simplePos x="0" y="0"/>
          <wp:positionH relativeFrom="margin">
            <wp:posOffset>4152900</wp:posOffset>
          </wp:positionH>
          <wp:positionV relativeFrom="margin">
            <wp:posOffset>-395605</wp:posOffset>
          </wp:positionV>
          <wp:extent cx="2019300" cy="200025"/>
          <wp:effectExtent l="19050" t="0" r="0" b="0"/>
          <wp:wrapSquare wrapText="bothSides"/>
          <wp:docPr id="5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939629C" w14:textId="77777777" w:rsidR="003B484E" w:rsidRDefault="003B484E" w:rsidP="007E1EF4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777"/>
    <w:multiLevelType w:val="hybridMultilevel"/>
    <w:tmpl w:val="179ABFCC"/>
    <w:lvl w:ilvl="0" w:tplc="D82EDB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933"/>
    <w:multiLevelType w:val="hybridMultilevel"/>
    <w:tmpl w:val="A33CC39A"/>
    <w:lvl w:ilvl="0" w:tplc="75107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12F5"/>
    <w:multiLevelType w:val="hybridMultilevel"/>
    <w:tmpl w:val="C92C42BE"/>
    <w:lvl w:ilvl="0" w:tplc="739EDDD4">
      <w:start w:val="1"/>
      <w:numFmt w:val="decimal"/>
      <w:pStyle w:val="Charttitle"/>
      <w:lvlText w:val="Figure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54A5F"/>
    <w:multiLevelType w:val="hybridMultilevel"/>
    <w:tmpl w:val="CEFC14BA"/>
    <w:lvl w:ilvl="0" w:tplc="81588DA0">
      <w:start w:val="1"/>
      <w:numFmt w:val="decimal"/>
      <w:pStyle w:val="Boxtitle"/>
      <w:lvlText w:val="Box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278"/>
    <w:multiLevelType w:val="multilevel"/>
    <w:tmpl w:val="FA7061F0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55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1A1897"/>
    <w:multiLevelType w:val="hybridMultilevel"/>
    <w:tmpl w:val="78ACE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F0B25"/>
    <w:multiLevelType w:val="hybridMultilevel"/>
    <w:tmpl w:val="ABCE7DF8"/>
    <w:lvl w:ilvl="0" w:tplc="AA1217A2">
      <w:numFmt w:val="bullet"/>
      <w:pStyle w:val="Dashedbullets"/>
      <w:lvlText w:val="—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A2B25"/>
    <w:multiLevelType w:val="hybridMultilevel"/>
    <w:tmpl w:val="C074C6BC"/>
    <w:lvl w:ilvl="0" w:tplc="5306719A">
      <w:start w:val="1"/>
      <w:numFmt w:val="decimal"/>
      <w:pStyle w:val="Tabletitle"/>
      <w:lvlText w:val="Table %1."/>
      <w:lvlJc w:val="left"/>
      <w:pPr>
        <w:ind w:left="360" w:hanging="360"/>
      </w:pPr>
      <w:rPr>
        <w:rFonts w:ascii="Cambria" w:hAnsi="Cambria"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F60F7"/>
    <w:multiLevelType w:val="hybridMultilevel"/>
    <w:tmpl w:val="BB320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6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5"/>
  </w:num>
  <w:num w:numId="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yamal Patel">
    <w15:presenceInfo w15:providerId="None" w15:userId="Shyamal Pat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97"/>
    <w:rsid w:val="00000173"/>
    <w:rsid w:val="000050B2"/>
    <w:rsid w:val="0000583E"/>
    <w:rsid w:val="00006A2B"/>
    <w:rsid w:val="0000746E"/>
    <w:rsid w:val="00011BBB"/>
    <w:rsid w:val="00012455"/>
    <w:rsid w:val="00012CCA"/>
    <w:rsid w:val="00017465"/>
    <w:rsid w:val="00025BD6"/>
    <w:rsid w:val="00025EC3"/>
    <w:rsid w:val="00031BFD"/>
    <w:rsid w:val="00032751"/>
    <w:rsid w:val="000338DB"/>
    <w:rsid w:val="00034943"/>
    <w:rsid w:val="0004087E"/>
    <w:rsid w:val="0005135F"/>
    <w:rsid w:val="00055978"/>
    <w:rsid w:val="00057579"/>
    <w:rsid w:val="00062A3E"/>
    <w:rsid w:val="000738D6"/>
    <w:rsid w:val="00073A8A"/>
    <w:rsid w:val="00073C3F"/>
    <w:rsid w:val="000865F9"/>
    <w:rsid w:val="00090E25"/>
    <w:rsid w:val="000919ED"/>
    <w:rsid w:val="00091EAB"/>
    <w:rsid w:val="00091FFA"/>
    <w:rsid w:val="0009253E"/>
    <w:rsid w:val="00094D3B"/>
    <w:rsid w:val="000950A6"/>
    <w:rsid w:val="000A0963"/>
    <w:rsid w:val="000A2854"/>
    <w:rsid w:val="000A2D8A"/>
    <w:rsid w:val="000C713B"/>
    <w:rsid w:val="000D117D"/>
    <w:rsid w:val="000D142A"/>
    <w:rsid w:val="000D35B6"/>
    <w:rsid w:val="000E3BB5"/>
    <w:rsid w:val="000E47C0"/>
    <w:rsid w:val="000E7A91"/>
    <w:rsid w:val="001028B3"/>
    <w:rsid w:val="00106C74"/>
    <w:rsid w:val="00111B13"/>
    <w:rsid w:val="0011284B"/>
    <w:rsid w:val="00112D12"/>
    <w:rsid w:val="001174B6"/>
    <w:rsid w:val="00134233"/>
    <w:rsid w:val="001460B0"/>
    <w:rsid w:val="00156A5F"/>
    <w:rsid w:val="00166FF8"/>
    <w:rsid w:val="00170726"/>
    <w:rsid w:val="00176887"/>
    <w:rsid w:val="00184BE3"/>
    <w:rsid w:val="001919E0"/>
    <w:rsid w:val="001970C8"/>
    <w:rsid w:val="001A7F7D"/>
    <w:rsid w:val="001B64A5"/>
    <w:rsid w:val="001C59D4"/>
    <w:rsid w:val="001D6CEE"/>
    <w:rsid w:val="001D70CA"/>
    <w:rsid w:val="001E0A0F"/>
    <w:rsid w:val="001F54EA"/>
    <w:rsid w:val="001F71E8"/>
    <w:rsid w:val="00205342"/>
    <w:rsid w:val="0021038A"/>
    <w:rsid w:val="00212A1D"/>
    <w:rsid w:val="00214973"/>
    <w:rsid w:val="002344D9"/>
    <w:rsid w:val="00241640"/>
    <w:rsid w:val="00247B20"/>
    <w:rsid w:val="002501BE"/>
    <w:rsid w:val="00255D50"/>
    <w:rsid w:val="00256096"/>
    <w:rsid w:val="002662F3"/>
    <w:rsid w:val="00266CC1"/>
    <w:rsid w:val="002701E1"/>
    <w:rsid w:val="00274C8F"/>
    <w:rsid w:val="00276F72"/>
    <w:rsid w:val="00283A7B"/>
    <w:rsid w:val="002921FD"/>
    <w:rsid w:val="00292B06"/>
    <w:rsid w:val="00292EF9"/>
    <w:rsid w:val="002943B4"/>
    <w:rsid w:val="00296272"/>
    <w:rsid w:val="00297226"/>
    <w:rsid w:val="00297ECC"/>
    <w:rsid w:val="002A09B5"/>
    <w:rsid w:val="002A191B"/>
    <w:rsid w:val="002A6411"/>
    <w:rsid w:val="002A7556"/>
    <w:rsid w:val="002C1E37"/>
    <w:rsid w:val="002C2240"/>
    <w:rsid w:val="002C2E0F"/>
    <w:rsid w:val="002D1D42"/>
    <w:rsid w:val="002E31A5"/>
    <w:rsid w:val="002E42AA"/>
    <w:rsid w:val="002F48E3"/>
    <w:rsid w:val="002F67A3"/>
    <w:rsid w:val="003015FD"/>
    <w:rsid w:val="00303CD6"/>
    <w:rsid w:val="0030436C"/>
    <w:rsid w:val="00324445"/>
    <w:rsid w:val="003248F2"/>
    <w:rsid w:val="00324AC6"/>
    <w:rsid w:val="00344BAD"/>
    <w:rsid w:val="0034501D"/>
    <w:rsid w:val="0034614F"/>
    <w:rsid w:val="0034694F"/>
    <w:rsid w:val="00352AB1"/>
    <w:rsid w:val="00357B7E"/>
    <w:rsid w:val="00361D74"/>
    <w:rsid w:val="00365F13"/>
    <w:rsid w:val="003746AB"/>
    <w:rsid w:val="00376474"/>
    <w:rsid w:val="00390BD0"/>
    <w:rsid w:val="003923AC"/>
    <w:rsid w:val="003A0FD4"/>
    <w:rsid w:val="003A1590"/>
    <w:rsid w:val="003A1DC9"/>
    <w:rsid w:val="003B00E8"/>
    <w:rsid w:val="003B3916"/>
    <w:rsid w:val="003B4624"/>
    <w:rsid w:val="003B484E"/>
    <w:rsid w:val="003B5169"/>
    <w:rsid w:val="003B613E"/>
    <w:rsid w:val="003B733F"/>
    <w:rsid w:val="003C1191"/>
    <w:rsid w:val="003C6251"/>
    <w:rsid w:val="003D5887"/>
    <w:rsid w:val="003E090B"/>
    <w:rsid w:val="003E3311"/>
    <w:rsid w:val="003F3753"/>
    <w:rsid w:val="003F4821"/>
    <w:rsid w:val="004035C9"/>
    <w:rsid w:val="0042049C"/>
    <w:rsid w:val="00423141"/>
    <w:rsid w:val="00443AF0"/>
    <w:rsid w:val="00456F12"/>
    <w:rsid w:val="004618A2"/>
    <w:rsid w:val="00467D3A"/>
    <w:rsid w:val="00472C55"/>
    <w:rsid w:val="00473962"/>
    <w:rsid w:val="0048140B"/>
    <w:rsid w:val="00487F22"/>
    <w:rsid w:val="0049027E"/>
    <w:rsid w:val="004906D8"/>
    <w:rsid w:val="0049096F"/>
    <w:rsid w:val="004916FF"/>
    <w:rsid w:val="0049270D"/>
    <w:rsid w:val="004A3BB1"/>
    <w:rsid w:val="004B69D4"/>
    <w:rsid w:val="004C397C"/>
    <w:rsid w:val="004C432D"/>
    <w:rsid w:val="004D6B7B"/>
    <w:rsid w:val="004F5A0B"/>
    <w:rsid w:val="00503F59"/>
    <w:rsid w:val="0050639E"/>
    <w:rsid w:val="005109E4"/>
    <w:rsid w:val="005115B0"/>
    <w:rsid w:val="00514FEB"/>
    <w:rsid w:val="00515D7F"/>
    <w:rsid w:val="00520FA0"/>
    <w:rsid w:val="00524097"/>
    <w:rsid w:val="005268E4"/>
    <w:rsid w:val="005274C7"/>
    <w:rsid w:val="00530B45"/>
    <w:rsid w:val="005355FE"/>
    <w:rsid w:val="00542FE9"/>
    <w:rsid w:val="005466FD"/>
    <w:rsid w:val="00547078"/>
    <w:rsid w:val="00550C70"/>
    <w:rsid w:val="00550FE6"/>
    <w:rsid w:val="00554598"/>
    <w:rsid w:val="00562E41"/>
    <w:rsid w:val="00562E86"/>
    <w:rsid w:val="00563A4D"/>
    <w:rsid w:val="005838AA"/>
    <w:rsid w:val="005A5C25"/>
    <w:rsid w:val="005B0ECC"/>
    <w:rsid w:val="005C212B"/>
    <w:rsid w:val="005C480B"/>
    <w:rsid w:val="005C558A"/>
    <w:rsid w:val="005C57A7"/>
    <w:rsid w:val="005D6724"/>
    <w:rsid w:val="005D75DB"/>
    <w:rsid w:val="005D7F01"/>
    <w:rsid w:val="006021C8"/>
    <w:rsid w:val="0061330C"/>
    <w:rsid w:val="0061542F"/>
    <w:rsid w:val="00616CAB"/>
    <w:rsid w:val="006174A7"/>
    <w:rsid w:val="00620479"/>
    <w:rsid w:val="00622FE5"/>
    <w:rsid w:val="00627F80"/>
    <w:rsid w:val="006329D6"/>
    <w:rsid w:val="00633271"/>
    <w:rsid w:val="00634267"/>
    <w:rsid w:val="00637D10"/>
    <w:rsid w:val="00676966"/>
    <w:rsid w:val="0068064C"/>
    <w:rsid w:val="006811BE"/>
    <w:rsid w:val="00683CBA"/>
    <w:rsid w:val="00696387"/>
    <w:rsid w:val="006A358E"/>
    <w:rsid w:val="006A495B"/>
    <w:rsid w:val="006B005A"/>
    <w:rsid w:val="006B4E7A"/>
    <w:rsid w:val="006B7A96"/>
    <w:rsid w:val="006C02E9"/>
    <w:rsid w:val="006C0EE6"/>
    <w:rsid w:val="006C2DDF"/>
    <w:rsid w:val="006C3B06"/>
    <w:rsid w:val="006E0188"/>
    <w:rsid w:val="006E12B9"/>
    <w:rsid w:val="006E2AD2"/>
    <w:rsid w:val="006E446E"/>
    <w:rsid w:val="006F3187"/>
    <w:rsid w:val="00710AD5"/>
    <w:rsid w:val="00724946"/>
    <w:rsid w:val="00725B62"/>
    <w:rsid w:val="00730A03"/>
    <w:rsid w:val="007329E9"/>
    <w:rsid w:val="00733154"/>
    <w:rsid w:val="007412E6"/>
    <w:rsid w:val="00746BAC"/>
    <w:rsid w:val="0074709F"/>
    <w:rsid w:val="0075254D"/>
    <w:rsid w:val="007540F2"/>
    <w:rsid w:val="00757F30"/>
    <w:rsid w:val="00760048"/>
    <w:rsid w:val="007637AF"/>
    <w:rsid w:val="00780372"/>
    <w:rsid w:val="00784844"/>
    <w:rsid w:val="00791574"/>
    <w:rsid w:val="00792162"/>
    <w:rsid w:val="0079259E"/>
    <w:rsid w:val="00792C9F"/>
    <w:rsid w:val="0079561E"/>
    <w:rsid w:val="00796ABF"/>
    <w:rsid w:val="007A277D"/>
    <w:rsid w:val="007A2CFA"/>
    <w:rsid w:val="007A4185"/>
    <w:rsid w:val="007B1E63"/>
    <w:rsid w:val="007B5270"/>
    <w:rsid w:val="007B7F3C"/>
    <w:rsid w:val="007C13DC"/>
    <w:rsid w:val="007C2A53"/>
    <w:rsid w:val="007E13E0"/>
    <w:rsid w:val="007E1EF4"/>
    <w:rsid w:val="007F5B7B"/>
    <w:rsid w:val="00806AF0"/>
    <w:rsid w:val="008166D9"/>
    <w:rsid w:val="008218B2"/>
    <w:rsid w:val="008257FD"/>
    <w:rsid w:val="00826E1A"/>
    <w:rsid w:val="008412D8"/>
    <w:rsid w:val="0084492C"/>
    <w:rsid w:val="008513CF"/>
    <w:rsid w:val="00860EC2"/>
    <w:rsid w:val="008652F5"/>
    <w:rsid w:val="0086726D"/>
    <w:rsid w:val="00873130"/>
    <w:rsid w:val="00876A10"/>
    <w:rsid w:val="00882037"/>
    <w:rsid w:val="00884CF9"/>
    <w:rsid w:val="008869D3"/>
    <w:rsid w:val="00895610"/>
    <w:rsid w:val="008A325B"/>
    <w:rsid w:val="008A6978"/>
    <w:rsid w:val="008B0281"/>
    <w:rsid w:val="008C0439"/>
    <w:rsid w:val="008D4625"/>
    <w:rsid w:val="008E3DC9"/>
    <w:rsid w:val="008E7F7E"/>
    <w:rsid w:val="008F45E5"/>
    <w:rsid w:val="008F62AA"/>
    <w:rsid w:val="009010AB"/>
    <w:rsid w:val="00903CCB"/>
    <w:rsid w:val="009058F2"/>
    <w:rsid w:val="009066F0"/>
    <w:rsid w:val="00913896"/>
    <w:rsid w:val="0092725F"/>
    <w:rsid w:val="009335C9"/>
    <w:rsid w:val="009369F9"/>
    <w:rsid w:val="0094543C"/>
    <w:rsid w:val="00945DDC"/>
    <w:rsid w:val="00967803"/>
    <w:rsid w:val="0097125E"/>
    <w:rsid w:val="00974942"/>
    <w:rsid w:val="0097565F"/>
    <w:rsid w:val="00985E14"/>
    <w:rsid w:val="009871C4"/>
    <w:rsid w:val="009906FC"/>
    <w:rsid w:val="00992962"/>
    <w:rsid w:val="00994854"/>
    <w:rsid w:val="00995EDD"/>
    <w:rsid w:val="00996936"/>
    <w:rsid w:val="009A26C2"/>
    <w:rsid w:val="009A44E8"/>
    <w:rsid w:val="009A4740"/>
    <w:rsid w:val="009A66F5"/>
    <w:rsid w:val="009B24E8"/>
    <w:rsid w:val="009B6187"/>
    <w:rsid w:val="009C2BD0"/>
    <w:rsid w:val="009C5C46"/>
    <w:rsid w:val="009C773D"/>
    <w:rsid w:val="009E3083"/>
    <w:rsid w:val="009F1B5F"/>
    <w:rsid w:val="009F3F3E"/>
    <w:rsid w:val="009F5131"/>
    <w:rsid w:val="009F5489"/>
    <w:rsid w:val="00A01D4B"/>
    <w:rsid w:val="00A1037C"/>
    <w:rsid w:val="00A1072C"/>
    <w:rsid w:val="00A161E8"/>
    <w:rsid w:val="00A17A84"/>
    <w:rsid w:val="00A26FD7"/>
    <w:rsid w:val="00A371FB"/>
    <w:rsid w:val="00A5518C"/>
    <w:rsid w:val="00A55EA8"/>
    <w:rsid w:val="00A604E9"/>
    <w:rsid w:val="00A61137"/>
    <w:rsid w:val="00A62729"/>
    <w:rsid w:val="00A64856"/>
    <w:rsid w:val="00A66304"/>
    <w:rsid w:val="00A931C6"/>
    <w:rsid w:val="00A97F64"/>
    <w:rsid w:val="00AA34A4"/>
    <w:rsid w:val="00AA3911"/>
    <w:rsid w:val="00AA77E7"/>
    <w:rsid w:val="00AB14FC"/>
    <w:rsid w:val="00AB63E1"/>
    <w:rsid w:val="00AC3D6C"/>
    <w:rsid w:val="00AC418F"/>
    <w:rsid w:val="00AD0E56"/>
    <w:rsid w:val="00AD2376"/>
    <w:rsid w:val="00AD7EFB"/>
    <w:rsid w:val="00AF1F0F"/>
    <w:rsid w:val="00AF6EB8"/>
    <w:rsid w:val="00B10742"/>
    <w:rsid w:val="00B1155B"/>
    <w:rsid w:val="00B151C7"/>
    <w:rsid w:val="00B2354D"/>
    <w:rsid w:val="00B26751"/>
    <w:rsid w:val="00B26849"/>
    <w:rsid w:val="00B27AB5"/>
    <w:rsid w:val="00B30D99"/>
    <w:rsid w:val="00B36119"/>
    <w:rsid w:val="00B41EFD"/>
    <w:rsid w:val="00B43588"/>
    <w:rsid w:val="00B435C3"/>
    <w:rsid w:val="00B502E6"/>
    <w:rsid w:val="00B60CAE"/>
    <w:rsid w:val="00B61494"/>
    <w:rsid w:val="00B62E32"/>
    <w:rsid w:val="00B64118"/>
    <w:rsid w:val="00B67959"/>
    <w:rsid w:val="00B67F68"/>
    <w:rsid w:val="00B82D74"/>
    <w:rsid w:val="00B84FC8"/>
    <w:rsid w:val="00B94C1B"/>
    <w:rsid w:val="00B95795"/>
    <w:rsid w:val="00B95A2B"/>
    <w:rsid w:val="00B9645C"/>
    <w:rsid w:val="00BA4FB2"/>
    <w:rsid w:val="00BB465E"/>
    <w:rsid w:val="00BB59F2"/>
    <w:rsid w:val="00BB5FF4"/>
    <w:rsid w:val="00BC413B"/>
    <w:rsid w:val="00BC5EC4"/>
    <w:rsid w:val="00BC602A"/>
    <w:rsid w:val="00BC7B33"/>
    <w:rsid w:val="00BD0A4C"/>
    <w:rsid w:val="00BD17C7"/>
    <w:rsid w:val="00BD54B7"/>
    <w:rsid w:val="00BE2E04"/>
    <w:rsid w:val="00BE5C2C"/>
    <w:rsid w:val="00BF0B5D"/>
    <w:rsid w:val="00BF4073"/>
    <w:rsid w:val="00C14D65"/>
    <w:rsid w:val="00C14ED4"/>
    <w:rsid w:val="00C20B97"/>
    <w:rsid w:val="00C24BD8"/>
    <w:rsid w:val="00C25EDC"/>
    <w:rsid w:val="00C27EC3"/>
    <w:rsid w:val="00C335D7"/>
    <w:rsid w:val="00C43957"/>
    <w:rsid w:val="00C5778C"/>
    <w:rsid w:val="00C752F1"/>
    <w:rsid w:val="00C817EC"/>
    <w:rsid w:val="00C85700"/>
    <w:rsid w:val="00C90A8E"/>
    <w:rsid w:val="00C91779"/>
    <w:rsid w:val="00C9460B"/>
    <w:rsid w:val="00C94E01"/>
    <w:rsid w:val="00CA035E"/>
    <w:rsid w:val="00CA28B5"/>
    <w:rsid w:val="00CA54EA"/>
    <w:rsid w:val="00CA6C13"/>
    <w:rsid w:val="00CB131B"/>
    <w:rsid w:val="00CB70F9"/>
    <w:rsid w:val="00CB7E58"/>
    <w:rsid w:val="00CC56C2"/>
    <w:rsid w:val="00CD1153"/>
    <w:rsid w:val="00CE3CAD"/>
    <w:rsid w:val="00CE5DB4"/>
    <w:rsid w:val="00D01E44"/>
    <w:rsid w:val="00D05024"/>
    <w:rsid w:val="00D0508E"/>
    <w:rsid w:val="00D2013D"/>
    <w:rsid w:val="00D24367"/>
    <w:rsid w:val="00D26827"/>
    <w:rsid w:val="00D26B07"/>
    <w:rsid w:val="00D32D93"/>
    <w:rsid w:val="00D352AB"/>
    <w:rsid w:val="00D4260B"/>
    <w:rsid w:val="00D45DEE"/>
    <w:rsid w:val="00D460E2"/>
    <w:rsid w:val="00D463F0"/>
    <w:rsid w:val="00D513C5"/>
    <w:rsid w:val="00D64195"/>
    <w:rsid w:val="00D6509A"/>
    <w:rsid w:val="00D730D4"/>
    <w:rsid w:val="00D742EA"/>
    <w:rsid w:val="00D74736"/>
    <w:rsid w:val="00D75E53"/>
    <w:rsid w:val="00D848DD"/>
    <w:rsid w:val="00D903CC"/>
    <w:rsid w:val="00D93DFB"/>
    <w:rsid w:val="00D96011"/>
    <w:rsid w:val="00D96F48"/>
    <w:rsid w:val="00DA3D2B"/>
    <w:rsid w:val="00DB0310"/>
    <w:rsid w:val="00DB1BB9"/>
    <w:rsid w:val="00DB46E5"/>
    <w:rsid w:val="00DB5153"/>
    <w:rsid w:val="00DC59B6"/>
    <w:rsid w:val="00DC729F"/>
    <w:rsid w:val="00DD2FB5"/>
    <w:rsid w:val="00DF0336"/>
    <w:rsid w:val="00DF0554"/>
    <w:rsid w:val="00E01521"/>
    <w:rsid w:val="00E03EAC"/>
    <w:rsid w:val="00E05197"/>
    <w:rsid w:val="00E058BE"/>
    <w:rsid w:val="00E16FE3"/>
    <w:rsid w:val="00E20051"/>
    <w:rsid w:val="00E20508"/>
    <w:rsid w:val="00E31A5E"/>
    <w:rsid w:val="00E323FC"/>
    <w:rsid w:val="00E338AB"/>
    <w:rsid w:val="00E34CD1"/>
    <w:rsid w:val="00E40B5F"/>
    <w:rsid w:val="00E45434"/>
    <w:rsid w:val="00E466D6"/>
    <w:rsid w:val="00E46DF3"/>
    <w:rsid w:val="00E527D1"/>
    <w:rsid w:val="00E556E7"/>
    <w:rsid w:val="00E55B9A"/>
    <w:rsid w:val="00E56541"/>
    <w:rsid w:val="00E61A1F"/>
    <w:rsid w:val="00E62684"/>
    <w:rsid w:val="00E633AC"/>
    <w:rsid w:val="00E66538"/>
    <w:rsid w:val="00E671A3"/>
    <w:rsid w:val="00E722FE"/>
    <w:rsid w:val="00E72386"/>
    <w:rsid w:val="00E77710"/>
    <w:rsid w:val="00E91493"/>
    <w:rsid w:val="00E91BFE"/>
    <w:rsid w:val="00E92375"/>
    <w:rsid w:val="00E9670B"/>
    <w:rsid w:val="00EA0706"/>
    <w:rsid w:val="00EA5168"/>
    <w:rsid w:val="00EB000C"/>
    <w:rsid w:val="00EB03BF"/>
    <w:rsid w:val="00EB2EF3"/>
    <w:rsid w:val="00EC25E2"/>
    <w:rsid w:val="00ED0ABA"/>
    <w:rsid w:val="00ED0C67"/>
    <w:rsid w:val="00EE3AAA"/>
    <w:rsid w:val="00F070F1"/>
    <w:rsid w:val="00F10A21"/>
    <w:rsid w:val="00F11067"/>
    <w:rsid w:val="00F12FED"/>
    <w:rsid w:val="00F13D1D"/>
    <w:rsid w:val="00F2039B"/>
    <w:rsid w:val="00F23705"/>
    <w:rsid w:val="00F26331"/>
    <w:rsid w:val="00F43E3C"/>
    <w:rsid w:val="00F55E5C"/>
    <w:rsid w:val="00F60CFA"/>
    <w:rsid w:val="00F638BA"/>
    <w:rsid w:val="00F63DA6"/>
    <w:rsid w:val="00F7087E"/>
    <w:rsid w:val="00F74545"/>
    <w:rsid w:val="00F7655F"/>
    <w:rsid w:val="00F77329"/>
    <w:rsid w:val="00F80B2D"/>
    <w:rsid w:val="00F86C01"/>
    <w:rsid w:val="00F91852"/>
    <w:rsid w:val="00F92DA0"/>
    <w:rsid w:val="00FA431B"/>
    <w:rsid w:val="00FA4FC7"/>
    <w:rsid w:val="00FA5D60"/>
    <w:rsid w:val="00FA7AD8"/>
    <w:rsid w:val="00FB0534"/>
    <w:rsid w:val="00FC64D5"/>
    <w:rsid w:val="00FC6C44"/>
    <w:rsid w:val="00FC6EBE"/>
    <w:rsid w:val="00FE0BDC"/>
    <w:rsid w:val="00FF28C3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BDF93B"/>
  <w15:docId w15:val="{C3C004E7-5FCF-48A0-B6BC-9691AE32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185"/>
    <w:pPr>
      <w:spacing w:after="0" w:line="300" w:lineRule="exact"/>
    </w:pPr>
    <w:rPr>
      <w:rFonts w:ascii="Calibri" w:hAnsi="Calibri"/>
      <w:color w:val="000000" w:themeColor="text1"/>
    </w:rPr>
  </w:style>
  <w:style w:type="paragraph" w:styleId="Heading1">
    <w:name w:val="heading 1"/>
    <w:aliases w:val="Subject page,Section title"/>
    <w:basedOn w:val="Normal"/>
    <w:next w:val="Normal"/>
    <w:link w:val="Heading1Char"/>
    <w:uiPriority w:val="9"/>
    <w:qFormat/>
    <w:rsid w:val="007A4185"/>
    <w:pPr>
      <w:pageBreakBefore/>
      <w:numPr>
        <w:numId w:val="16"/>
      </w:numPr>
      <w:autoSpaceDE w:val="0"/>
      <w:autoSpaceDN w:val="0"/>
      <w:adjustRightInd w:val="0"/>
      <w:spacing w:after="120" w:line="600" w:lineRule="exact"/>
      <w:outlineLvl w:val="0"/>
    </w:pPr>
    <w:rPr>
      <w:rFonts w:cstheme="minorHAnsi"/>
      <w:sz w:val="44"/>
      <w:szCs w:val="60"/>
    </w:rPr>
  </w:style>
  <w:style w:type="paragraph" w:styleId="Heading2">
    <w:name w:val="heading 2"/>
    <w:aliases w:val="Sub-heading,Subject title"/>
    <w:basedOn w:val="Heading1"/>
    <w:next w:val="Normal"/>
    <w:link w:val="Heading2Char"/>
    <w:uiPriority w:val="9"/>
    <w:unhideWhenUsed/>
    <w:qFormat/>
    <w:rsid w:val="007A4185"/>
    <w:pPr>
      <w:keepNext/>
      <w:pageBreakBefore w:val="0"/>
      <w:numPr>
        <w:ilvl w:val="1"/>
      </w:numPr>
      <w:spacing w:after="240" w:line="300" w:lineRule="exac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64"/>
    <w:pPr>
      <w:keepNext/>
      <w:numPr>
        <w:ilvl w:val="2"/>
        <w:numId w:val="16"/>
      </w:numPr>
      <w:spacing w:before="60" w:after="60"/>
      <w:ind w:left="720"/>
      <w:outlineLvl w:val="2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7A4185"/>
    <w:pPr>
      <w:numPr>
        <w:ilvl w:val="3"/>
        <w:numId w:val="16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rsid w:val="007A4185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4185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4185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4185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5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4185"/>
    <w:pPr>
      <w:pBdr>
        <w:bottom w:val="single" w:sz="4" w:space="4" w:color="auto"/>
      </w:pBdr>
      <w:spacing w:line="140" w:lineRule="exact"/>
      <w:jc w:val="right"/>
    </w:pPr>
    <w:rPr>
      <w:rFonts w:asciiTheme="majorHAnsi" w:hAnsiTheme="majorHAnsi" w:cstheme="majorHAnsi"/>
      <w:noProof/>
      <w:sz w:val="12"/>
      <w:szCs w:val="1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7A4185"/>
    <w:rPr>
      <w:rFonts w:asciiTheme="majorHAnsi" w:hAnsiTheme="majorHAnsi" w:cstheme="majorHAnsi"/>
      <w:noProof/>
      <w:color w:val="000000" w:themeColor="text1"/>
      <w:sz w:val="12"/>
      <w:szCs w:val="12"/>
      <w:lang w:eastAsia="en-GB"/>
    </w:rPr>
  </w:style>
  <w:style w:type="paragraph" w:styleId="Footer">
    <w:name w:val="footer"/>
    <w:basedOn w:val="Normal"/>
    <w:link w:val="FooterChar"/>
    <w:uiPriority w:val="9"/>
    <w:unhideWhenUsed/>
    <w:rsid w:val="007A41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"/>
    <w:rsid w:val="007A4185"/>
    <w:rPr>
      <w:rFonts w:ascii="Calibri" w:hAnsi="Calibr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85"/>
    <w:rPr>
      <w:rFonts w:ascii="Tahoma" w:hAnsi="Tahoma" w:cs="Tahoma"/>
      <w:color w:val="000000" w:themeColor="text1"/>
      <w:sz w:val="16"/>
      <w:szCs w:val="16"/>
    </w:rPr>
  </w:style>
  <w:style w:type="paragraph" w:customStyle="1" w:styleId="Dashedbullets">
    <w:name w:val="Dashed bullets"/>
    <w:basedOn w:val="Normal"/>
    <w:qFormat/>
    <w:rsid w:val="007A4185"/>
    <w:pPr>
      <w:numPr>
        <w:numId w:val="14"/>
      </w:numPr>
    </w:pPr>
  </w:style>
  <w:style w:type="character" w:customStyle="1" w:styleId="Heading1Char">
    <w:name w:val="Heading 1 Char"/>
    <w:aliases w:val="Subject page Char,Section title Char"/>
    <w:basedOn w:val="DefaultParagraphFont"/>
    <w:link w:val="Heading1"/>
    <w:uiPriority w:val="9"/>
    <w:rsid w:val="007A4185"/>
    <w:rPr>
      <w:rFonts w:ascii="Calibri" w:hAnsi="Calibri" w:cstheme="minorHAnsi"/>
      <w:color w:val="000000" w:themeColor="text1"/>
      <w:sz w:val="44"/>
      <w:szCs w:val="60"/>
    </w:rPr>
  </w:style>
  <w:style w:type="character" w:customStyle="1" w:styleId="Heading2Char">
    <w:name w:val="Heading 2 Char"/>
    <w:aliases w:val="Sub-heading Char,Subject title Char"/>
    <w:basedOn w:val="DefaultParagraphFont"/>
    <w:link w:val="Heading2"/>
    <w:uiPriority w:val="9"/>
    <w:rsid w:val="007A4185"/>
    <w:rPr>
      <w:rFonts w:ascii="Calibri" w:hAnsi="Calibri" w:cstheme="minorHAnsi"/>
      <w:b/>
      <w:color w:val="000000" w:themeColor="text1"/>
      <w:sz w:val="28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A97F64"/>
    <w:rPr>
      <w:rFonts w:ascii="Calibri" w:hAnsi="Calibri" w:cstheme="minorHAns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A4185"/>
    <w:rPr>
      <w:rFonts w:ascii="Calibri" w:hAnsi="Calibr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A41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A41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41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A4185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customStyle="1" w:styleId="Acknowledgements">
    <w:name w:val="Acknowledgements"/>
    <w:basedOn w:val="Normal"/>
    <w:qFormat/>
    <w:rsid w:val="007A4185"/>
    <w:pPr>
      <w:pageBreakBefore/>
      <w:spacing w:after="480" w:line="600" w:lineRule="exact"/>
    </w:pPr>
    <w:rPr>
      <w:sz w:val="44"/>
      <w:szCs w:val="60"/>
    </w:rPr>
  </w:style>
  <w:style w:type="paragraph" w:customStyle="1" w:styleId="Appendix">
    <w:name w:val="Appendix"/>
    <w:basedOn w:val="Heading1"/>
    <w:qFormat/>
    <w:rsid w:val="007A4185"/>
    <w:pPr>
      <w:numPr>
        <w:numId w:val="0"/>
      </w:numPr>
      <w:spacing w:after="480"/>
    </w:pPr>
  </w:style>
  <w:style w:type="paragraph" w:customStyle="1" w:styleId="Subheading">
    <w:name w:val="Subheading"/>
    <w:basedOn w:val="Normal"/>
    <w:qFormat/>
    <w:rsid w:val="007A4185"/>
    <w:pPr>
      <w:autoSpaceDE w:val="0"/>
      <w:autoSpaceDN w:val="0"/>
      <w:adjustRightInd w:val="0"/>
      <w:spacing w:before="240" w:after="600" w:line="360" w:lineRule="exact"/>
    </w:pPr>
    <w:rPr>
      <w:rFonts w:cstheme="minorHAnsi"/>
      <w:b/>
      <w:bCs/>
      <w:sz w:val="28"/>
      <w:szCs w:val="30"/>
    </w:rPr>
  </w:style>
  <w:style w:type="paragraph" w:customStyle="1" w:styleId="Appendixheading">
    <w:name w:val="Appendix heading"/>
    <w:basedOn w:val="Subheading"/>
    <w:next w:val="Normal"/>
    <w:qFormat/>
    <w:rsid w:val="007A4185"/>
    <w:pPr>
      <w:spacing w:before="120" w:after="120"/>
    </w:pPr>
  </w:style>
  <w:style w:type="paragraph" w:customStyle="1" w:styleId="Charttitle">
    <w:name w:val="Chart title"/>
    <w:basedOn w:val="Normal"/>
    <w:qFormat/>
    <w:rsid w:val="007A4185"/>
    <w:pPr>
      <w:keepNext/>
      <w:numPr>
        <w:numId w:val="3"/>
      </w:numPr>
      <w:pBdr>
        <w:top w:val="single" w:sz="4" w:space="1" w:color="7F7F7F" w:themeColor="text1" w:themeTint="80"/>
      </w:pBdr>
      <w:autoSpaceDE w:val="0"/>
      <w:autoSpaceDN w:val="0"/>
      <w:adjustRightInd w:val="0"/>
      <w:spacing w:before="480" w:after="120" w:line="220" w:lineRule="atLeast"/>
    </w:pPr>
    <w:rPr>
      <w:rFonts w:cstheme="minorHAnsi"/>
      <w:b/>
      <w:iCs/>
      <w:color w:val="000000"/>
      <w:sz w:val="20"/>
      <w:szCs w:val="20"/>
    </w:rPr>
  </w:style>
  <w:style w:type="paragraph" w:customStyle="1" w:styleId="Boxtitle">
    <w:name w:val="Box title"/>
    <w:basedOn w:val="Charttitle"/>
    <w:qFormat/>
    <w:rsid w:val="007A4185"/>
    <w:pPr>
      <w:numPr>
        <w:numId w:val="4"/>
      </w:numPr>
      <w:pBdr>
        <w:top w:val="none" w:sz="0" w:space="0" w:color="auto"/>
      </w:pBdr>
      <w:spacing w:before="240" w:after="240"/>
    </w:pPr>
    <w:rPr>
      <w:color w:val="000000" w:themeColor="text1"/>
    </w:rPr>
  </w:style>
  <w:style w:type="paragraph" w:customStyle="1" w:styleId="Chartspacer">
    <w:name w:val="Chart spacer"/>
    <w:basedOn w:val="Normal"/>
    <w:qFormat/>
    <w:rsid w:val="007A4185"/>
    <w:pPr>
      <w:spacing w:line="240" w:lineRule="auto"/>
    </w:pPr>
    <w:rPr>
      <w:sz w:val="8"/>
      <w:szCs w:val="8"/>
    </w:rPr>
  </w:style>
  <w:style w:type="paragraph" w:customStyle="1" w:styleId="Client">
    <w:name w:val="Client"/>
    <w:basedOn w:val="Normal"/>
    <w:rsid w:val="007A4185"/>
    <w:pPr>
      <w:spacing w:before="360" w:line="360" w:lineRule="exact"/>
      <w:ind w:left="2410"/>
    </w:pPr>
    <w:rPr>
      <w:rFonts w:asciiTheme="minorHAnsi" w:hAnsiTheme="minorHAnsi" w:cstheme="minorHAnsi"/>
      <w:b/>
      <w:sz w:val="2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4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185"/>
    <w:rPr>
      <w:rFonts w:ascii="Calibri" w:hAnsi="Calibri"/>
      <w:color w:val="000000" w:themeColor="text1"/>
      <w:sz w:val="20"/>
      <w:szCs w:val="20"/>
    </w:rPr>
  </w:style>
  <w:style w:type="paragraph" w:customStyle="1" w:styleId="CompanyProfile">
    <w:name w:val="Company Profile"/>
    <w:basedOn w:val="Normal"/>
    <w:qFormat/>
    <w:rsid w:val="007A4185"/>
  </w:style>
  <w:style w:type="paragraph" w:customStyle="1" w:styleId="Contents">
    <w:name w:val="Contents"/>
    <w:basedOn w:val="Normal"/>
    <w:rsid w:val="007A4185"/>
    <w:pPr>
      <w:pageBreakBefore/>
      <w:spacing w:after="540" w:line="600" w:lineRule="exact"/>
      <w:ind w:left="2410"/>
    </w:pPr>
    <w:rPr>
      <w:rFonts w:cs="Arial"/>
      <w:color w:val="221E1F"/>
      <w:sz w:val="60"/>
      <w:szCs w:val="60"/>
    </w:rPr>
  </w:style>
  <w:style w:type="paragraph" w:styleId="Date">
    <w:name w:val="Date"/>
    <w:basedOn w:val="Normal"/>
    <w:next w:val="Normal"/>
    <w:link w:val="DateChar"/>
    <w:uiPriority w:val="9"/>
    <w:rsid w:val="007A4185"/>
    <w:pPr>
      <w:spacing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character" w:customStyle="1" w:styleId="DateChar">
    <w:name w:val="Date Char"/>
    <w:basedOn w:val="DefaultParagraphFont"/>
    <w:link w:val="Date"/>
    <w:uiPriority w:val="9"/>
    <w:rsid w:val="007A4185"/>
    <w:rPr>
      <w:rFonts w:cstheme="minorHAnsi"/>
      <w:color w:val="666666"/>
      <w:sz w:val="28"/>
      <w:szCs w:val="30"/>
    </w:rPr>
  </w:style>
  <w:style w:type="paragraph" w:customStyle="1" w:styleId="ExecutiveSummary">
    <w:name w:val="Executive Summary"/>
    <w:basedOn w:val="Heading1"/>
    <w:rsid w:val="007A4185"/>
    <w:pPr>
      <w:numPr>
        <w:numId w:val="0"/>
      </w:numPr>
      <w:outlineLvl w:val="9"/>
    </w:pPr>
  </w:style>
  <w:style w:type="character" w:styleId="FootnoteReference">
    <w:name w:val="footnote reference"/>
    <w:basedOn w:val="DefaultParagraphFont"/>
    <w:uiPriority w:val="99"/>
    <w:semiHidden/>
    <w:unhideWhenUsed/>
    <w:rsid w:val="007A418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rsid w:val="007A4185"/>
    <w:pPr>
      <w:pBdr>
        <w:top w:val="single" w:sz="4" w:space="1" w:color="7F7F7F" w:themeColor="text1" w:themeTint="80"/>
      </w:pBdr>
      <w:spacing w:before="120" w:after="240" w:line="240" w:lineRule="auto"/>
    </w:pPr>
    <w:rPr>
      <w:rFonts w:asciiTheme="minorHAnsi" w:hAnsiTheme="minorHAnsi" w:cstheme="minorHAnsi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A4185"/>
    <w:rPr>
      <w:rFonts w:cstheme="minorHAnsi"/>
      <w:color w:val="000000" w:themeColor="text1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7A4185"/>
    <w:rPr>
      <w:color w:val="008CD1"/>
      <w:u w:val="single"/>
    </w:rPr>
  </w:style>
  <w:style w:type="paragraph" w:customStyle="1" w:styleId="Indentedbullet">
    <w:name w:val="Indented bullet"/>
    <w:basedOn w:val="Dashedbullets"/>
    <w:qFormat/>
    <w:rsid w:val="007A4185"/>
    <w:pPr>
      <w:ind w:left="568"/>
    </w:pPr>
  </w:style>
  <w:style w:type="paragraph" w:customStyle="1" w:styleId="Listoffigures">
    <w:name w:val="List of figures"/>
    <w:basedOn w:val="Contents"/>
    <w:rsid w:val="007A4185"/>
    <w:pPr>
      <w:pageBreakBefore w:val="0"/>
      <w:spacing w:before="120"/>
    </w:pPr>
  </w:style>
  <w:style w:type="paragraph" w:styleId="ListParagraph">
    <w:name w:val="List Paragraph"/>
    <w:basedOn w:val="Normal"/>
    <w:uiPriority w:val="34"/>
    <w:qFormat/>
    <w:rsid w:val="007A4185"/>
    <w:pPr>
      <w:ind w:left="720"/>
      <w:contextualSpacing/>
    </w:pPr>
  </w:style>
  <w:style w:type="paragraph" w:customStyle="1" w:styleId="Longquote">
    <w:name w:val="Long quote"/>
    <w:basedOn w:val="Normal"/>
    <w:qFormat/>
    <w:rsid w:val="007A4185"/>
    <w:pPr>
      <w:suppressAutoHyphens/>
      <w:autoSpaceDE w:val="0"/>
      <w:autoSpaceDN w:val="0"/>
      <w:adjustRightInd w:val="0"/>
      <w:spacing w:before="360" w:after="360" w:line="300" w:lineRule="atLeast"/>
      <w:ind w:left="1134" w:right="1134"/>
      <w:textAlignment w:val="center"/>
    </w:pPr>
    <w:rPr>
      <w:rFonts w:cs="Times New Roman"/>
      <w:i/>
    </w:rPr>
  </w:style>
  <w:style w:type="paragraph" w:styleId="NoSpacing">
    <w:name w:val="No Spacing"/>
    <w:uiPriority w:val="1"/>
    <w:qFormat/>
    <w:rsid w:val="007A4185"/>
    <w:pPr>
      <w:spacing w:after="0" w:line="240" w:lineRule="auto"/>
    </w:pPr>
    <w:rPr>
      <w:rFonts w:ascii="Calibri" w:hAnsi="Calibri"/>
      <w:color w:val="000000" w:themeColor="text1"/>
    </w:rPr>
  </w:style>
  <w:style w:type="paragraph" w:customStyle="1" w:styleId="Source">
    <w:name w:val="Source"/>
    <w:basedOn w:val="Normal"/>
    <w:qFormat/>
    <w:rsid w:val="007A4185"/>
    <w:pPr>
      <w:pBdr>
        <w:top w:val="single" w:sz="4" w:space="1" w:color="7F7F7F" w:themeColor="text1" w:themeTint="80"/>
      </w:pBdr>
      <w:autoSpaceDE w:val="0"/>
      <w:autoSpaceDN w:val="0"/>
      <w:adjustRightInd w:val="0"/>
      <w:spacing w:after="480"/>
      <w:ind w:left="993" w:hanging="993"/>
    </w:pPr>
    <w:rPr>
      <w:rFonts w:cstheme="minorHAnsi"/>
      <w:i/>
      <w:iCs/>
      <w:sz w:val="18"/>
      <w:szCs w:val="16"/>
    </w:rPr>
  </w:style>
  <w:style w:type="paragraph" w:customStyle="1" w:styleId="Note">
    <w:name w:val="Note"/>
    <w:basedOn w:val="Source"/>
    <w:qFormat/>
    <w:rsid w:val="007A4185"/>
    <w:pPr>
      <w:keepNext/>
      <w:spacing w:after="0"/>
    </w:pPr>
  </w:style>
  <w:style w:type="character" w:styleId="PageNumber">
    <w:name w:val="page number"/>
    <w:basedOn w:val="DefaultParagraphFont"/>
    <w:uiPriority w:val="99"/>
    <w:rsid w:val="007A4185"/>
    <w:rPr>
      <w:rFonts w:asciiTheme="minorHAnsi" w:hAnsiTheme="minorHAnsi"/>
      <w:sz w:val="16"/>
    </w:rPr>
  </w:style>
  <w:style w:type="character" w:styleId="PlaceholderText">
    <w:name w:val="Placeholder Text"/>
    <w:uiPriority w:val="99"/>
    <w:qFormat/>
    <w:rsid w:val="007A4185"/>
  </w:style>
  <w:style w:type="paragraph" w:styleId="Quote">
    <w:name w:val="Quote"/>
    <w:basedOn w:val="Normal"/>
    <w:next w:val="Normal"/>
    <w:link w:val="QuoteChar"/>
    <w:uiPriority w:val="9"/>
    <w:qFormat/>
    <w:rsid w:val="007A4185"/>
    <w:pPr>
      <w:spacing w:line="480" w:lineRule="exact"/>
    </w:pPr>
    <w:rPr>
      <w:rFonts w:cstheme="minorHAnsi"/>
      <w:i/>
      <w:iCs/>
      <w:color w:val="4D4D4D"/>
      <w:sz w:val="40"/>
      <w:szCs w:val="40"/>
    </w:rPr>
  </w:style>
  <w:style w:type="character" w:customStyle="1" w:styleId="QuoteChar">
    <w:name w:val="Quote Char"/>
    <w:basedOn w:val="DefaultParagraphFont"/>
    <w:link w:val="Quote"/>
    <w:uiPriority w:val="9"/>
    <w:rsid w:val="007A4185"/>
    <w:rPr>
      <w:rFonts w:ascii="Calibri" w:hAnsi="Calibri" w:cstheme="minorHAnsi"/>
      <w:i/>
      <w:iCs/>
      <w:color w:val="4D4D4D"/>
      <w:sz w:val="40"/>
      <w:szCs w:val="40"/>
    </w:rPr>
  </w:style>
  <w:style w:type="paragraph" w:customStyle="1" w:styleId="References">
    <w:name w:val="References"/>
    <w:basedOn w:val="Heading1"/>
    <w:rsid w:val="007A4185"/>
    <w:pPr>
      <w:numPr>
        <w:numId w:val="0"/>
      </w:numPr>
      <w:spacing w:after="600"/>
      <w:ind w:left="2410"/>
    </w:pPr>
  </w:style>
  <w:style w:type="paragraph" w:customStyle="1" w:styleId="Subsubtitle">
    <w:name w:val="Sub subtitle"/>
    <w:basedOn w:val="Normal"/>
    <w:qFormat/>
    <w:rsid w:val="007A4185"/>
  </w:style>
  <w:style w:type="paragraph" w:styleId="Subtitle">
    <w:name w:val="Subtitle"/>
    <w:basedOn w:val="Normal"/>
    <w:next w:val="Normal"/>
    <w:link w:val="SubtitleChar"/>
    <w:uiPriority w:val="9"/>
    <w:qFormat/>
    <w:rsid w:val="007A4185"/>
    <w:pPr>
      <w:numPr>
        <w:ilvl w:val="1"/>
      </w:numPr>
      <w:spacing w:after="240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7A4185"/>
    <w:rPr>
      <w:rFonts w:ascii="Calibri" w:eastAsiaTheme="majorEastAsia" w:hAnsi="Calibri" w:cstheme="majorBidi"/>
      <w:b/>
      <w:iCs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7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A4185"/>
    <w:pPr>
      <w:tabs>
        <w:tab w:val="left" w:pos="3402"/>
        <w:tab w:val="right" w:leader="dot" w:pos="9639"/>
      </w:tabs>
      <w:spacing w:line="400" w:lineRule="exact"/>
      <w:ind w:left="3402" w:hanging="992"/>
    </w:pPr>
    <w:rPr>
      <w:noProof/>
    </w:rPr>
  </w:style>
  <w:style w:type="paragraph" w:customStyle="1" w:styleId="Tabletitle">
    <w:name w:val="Table title"/>
    <w:qFormat/>
    <w:rsid w:val="007A4185"/>
    <w:pPr>
      <w:keepNext/>
      <w:numPr>
        <w:numId w:val="15"/>
      </w:numPr>
      <w:pBdr>
        <w:top w:val="single" w:sz="4" w:space="1" w:color="7F7F7F" w:themeColor="text1" w:themeTint="80"/>
      </w:pBdr>
      <w:spacing w:before="480" w:after="120" w:line="220" w:lineRule="atLeast"/>
    </w:pPr>
    <w:rPr>
      <w:rFonts w:ascii="Calibri" w:hAnsi="Calibri" w:cstheme="minorHAnsi"/>
      <w:b/>
      <w:iCs/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5"/>
    <w:rsid w:val="007A4185"/>
    <w:pPr>
      <w:pBdr>
        <w:bottom w:val="single" w:sz="4" w:space="12" w:color="auto"/>
      </w:pBdr>
      <w:spacing w:before="1080" w:line="600" w:lineRule="exact"/>
      <w:ind w:left="2410"/>
    </w:pPr>
    <w:rPr>
      <w:rFonts w:cstheme="minorHAnsi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7A4185"/>
    <w:rPr>
      <w:rFonts w:ascii="Calibri" w:hAnsi="Calibri" w:cstheme="minorHAnsi"/>
      <w:color w:val="000000" w:themeColor="text1"/>
      <w:sz w:val="60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7A4185"/>
    <w:pPr>
      <w:tabs>
        <w:tab w:val="right" w:leader="dot" w:pos="9629"/>
      </w:tabs>
      <w:spacing w:after="120"/>
      <w:ind w:left="2410"/>
    </w:pPr>
    <w:rPr>
      <w:rFonts w:cs="Arial"/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7A4185"/>
    <w:pPr>
      <w:tabs>
        <w:tab w:val="left" w:pos="3261"/>
      </w:tabs>
      <w:spacing w:after="60"/>
      <w:ind w:left="3261" w:hanging="426"/>
    </w:pPr>
    <w:rPr>
      <w:b/>
    </w:rPr>
  </w:style>
  <w:style w:type="paragraph" w:styleId="TOC3">
    <w:name w:val="toc 3"/>
    <w:basedOn w:val="TableofFigures"/>
    <w:next w:val="Normal"/>
    <w:autoRedefine/>
    <w:uiPriority w:val="19"/>
    <w:unhideWhenUsed/>
    <w:rsid w:val="007A4185"/>
    <w:pPr>
      <w:tabs>
        <w:tab w:val="clear" w:pos="3402"/>
        <w:tab w:val="left" w:pos="3544"/>
      </w:tabs>
      <w:ind w:left="3544" w:hanging="1134"/>
    </w:pPr>
  </w:style>
  <w:style w:type="paragraph" w:styleId="TOCHeading">
    <w:name w:val="TOC Heading"/>
    <w:basedOn w:val="Heading1"/>
    <w:next w:val="Normal"/>
    <w:uiPriority w:val="9"/>
    <w:unhideWhenUsed/>
    <w:qFormat/>
    <w:rsid w:val="007A4185"/>
    <w:pPr>
      <w:keepNext/>
      <w:keepLines/>
      <w:pageBreakBefore w:val="0"/>
      <w:autoSpaceDE/>
      <w:autoSpaceDN/>
      <w:adjustRightInd/>
      <w:spacing w:before="480" w:line="276" w:lineRule="auto"/>
      <w:ind w:left="0" w:firstLine="0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Version">
    <w:name w:val="Version"/>
    <w:basedOn w:val="Normal"/>
    <w:rsid w:val="007A4185"/>
    <w:pPr>
      <w:spacing w:before="840"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table" w:customStyle="1" w:styleId="Vividtable">
    <w:name w:val="Vivid table"/>
    <w:basedOn w:val="TableNormal"/>
    <w:uiPriority w:val="99"/>
    <w:rsid w:val="007A4185"/>
    <w:pPr>
      <w:spacing w:after="0" w:line="240" w:lineRule="auto"/>
    </w:pPr>
    <w:rPr>
      <w:sz w:val="18"/>
    </w:rPr>
    <w:tblPr>
      <w:tblStyleRowBandSize w:val="1"/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band1Horz">
      <w:tblPr/>
      <w:tcPr>
        <w:shd w:val="clear" w:color="auto" w:fill="DDDDDD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45"/>
    <w:rPr>
      <w:rFonts w:ascii="Calibri" w:hAnsi="Calibri"/>
      <w:b/>
      <w:bCs/>
      <w:color w:val="000000" w:themeColor="text1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A159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40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vivideconomics.sharepoint.com/:x:/s/projects/171211HSB/EczqExhcLrBAn1rnoVskra4BtJ82Z5ZBLgDoV1DdPeZlCg?e=qbGR6R" TargetMode="External"/><Relationship Id="rId1" Type="http://schemas.openxmlformats.org/officeDocument/2006/relationships/hyperlink" Target="https://vivideconomics.sharepoint.com/:f:/s/projects/171211HSB/Er467wlsRG9JoEVxCQ-u9akBWc7DZ-RVQrUS2SEDz_90iQ?e=vbtdic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vivideconomics.sharepoint.com/:x:/s/projects/171211HSB/EadSu9Uee0BAv76VhGoHILEBoM5BQlr3AucmYCxaODmKlg?e=QXtwl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vivideconomics.sharepoint.com/:x:/s/projects/171211HSB/EadSu9Uee0BAv76VhGoHILEBoM5BQlr3AucmYCxaODmKlg?e=QXtwlP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vivideconomics.sharepoint.com/sites/projects/templates/Shared%20Documents/Note%202017%201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0"/>
    <w:rsid w:val="00B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qFormat/>
    <w:rsid w:val="00BC2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58A34C1B804487783B2D6E744E74" ma:contentTypeVersion="8" ma:contentTypeDescription="Create a new document." ma:contentTypeScope="" ma:versionID="db55914762f75c69a3f428beb16e5e78">
  <xsd:schema xmlns:xsd="http://www.w3.org/2001/XMLSchema" xmlns:xs="http://www.w3.org/2001/XMLSchema" xmlns:p="http://schemas.microsoft.com/office/2006/metadata/properties" xmlns:ns2="b5fc07e1-684f-42dd-a9b9-4a385070eb2f" xmlns:ns3="40da89ef-49c0-40fe-8775-bed27f6d4e3e" targetNamespace="http://schemas.microsoft.com/office/2006/metadata/properties" ma:root="true" ma:fieldsID="3788be5c6e889f205c249745f37b3686" ns2:_="" ns3:_="">
    <xsd:import namespace="b5fc07e1-684f-42dd-a9b9-4a385070eb2f"/>
    <xsd:import namespace="40da89ef-49c0-40fe-8775-bed27f6d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07e1-684f-42dd-a9b9-4a385070e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a89ef-49c0-40fe-8775-bed27f6d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E96F9-386E-4F2F-9883-111BFE08668E}"/>
</file>

<file path=customXml/itemProps2.xml><?xml version="1.0" encoding="utf-8"?>
<ds:datastoreItem xmlns:ds="http://schemas.openxmlformats.org/officeDocument/2006/customXml" ds:itemID="{2FBC6A27-504B-4815-9ABD-54C59B3DE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BAFBD-3390-4A90-9E5E-0DDD3B435FFA}">
  <ds:schemaRefs>
    <ds:schemaRef ds:uri="http://schemas.microsoft.com/office/2006/metadata/properties"/>
    <ds:schemaRef ds:uri="b5fc07e1-684f-42dd-a9b9-4a385070eb2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8F74DB9-81D2-41BA-B11A-9081B4C2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Note%202017%2012</Template>
  <TotalTime>0</TotalTime>
  <Pages>5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Shyamal</dc:creator>
  <cp:lastModifiedBy>Shyamal Patel</cp:lastModifiedBy>
  <cp:revision>122</cp:revision>
  <dcterms:created xsi:type="dcterms:W3CDTF">2018-03-12T10:14:00Z</dcterms:created>
  <dcterms:modified xsi:type="dcterms:W3CDTF">2018-03-12T11:58:00Z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0x01010071A458A34C1B804487783B2D6E744E74</vt:lpwstr>
  </property>
</Properties>
</file>