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0"/>
          <w:szCs w:val="30"/>
        </w:rPr>
        <w:t xml:space="preserve">Synergistic Multi-Domain Optimization of Autonomous UAV Fleet Systems:</w:t>
      </w:r>
    </w:p>
    <w:p>
      <w:pPr>
        <w:spacing w:after="200" w:before="0"/>
        <w:jc w:val="center"/>
      </w:pPr>
      <w:r>
        <w:rPr>
          <w:rFonts w:ascii="Times New Roman" w:cs="Times New Roman" w:eastAsia="Times New Roman" w:hAnsi="Times New Roman"/>
          <w:b/>
          <w:bCs/>
          <w:sz w:val="30"/>
          <w:szCs w:val="30"/>
        </w:rPr>
        <w:t xml:space="preserve">Propulsion Control, Structural Dynamics, AI Navigation, and Fleet-Level Energy Architecture</w:t>
      </w:r>
    </w:p>
    <w:p>
      <w:pPr>
        <w:spacing w:after="100" w:before="0"/>
        <w:jc w:val="center"/>
      </w:pPr>
      <w:r>
        <w:rPr>
          <w:rFonts w:ascii="Times New Roman" w:cs="Times New Roman" w:eastAsia="Times New Roman" w:hAnsi="Times New Roman"/>
          <w:b/>
          <w:bCs/>
          <w:sz w:val="22"/>
          <w:szCs w:val="22"/>
        </w:rPr>
        <w:t xml:space="preserve">Shrey Kumar</w:t>
      </w:r>
    </w:p>
    <w:p>
      <w:pPr>
        <w:spacing w:after="60" w:before="0"/>
        <w:jc w:val="center"/>
      </w:pPr>
      <w:r>
        <w:rPr>
          <w:rFonts w:ascii="Times New Roman" w:cs="Times New Roman" w:eastAsia="Times New Roman" w:hAnsi="Times New Roman"/>
          <w:i/>
          <w:iCs/>
          <w:sz w:val="20"/>
          <w:szCs w:val="20"/>
        </w:rPr>
        <w:t xml:space="preserve">Department of Computing Technologies, SRM Institute of Science and Technology, Chennai, India</w:t>
      </w:r>
    </w:p>
    <w:p>
      <w:pPr>
        <w:spacing w:after="200" w:before="0"/>
        <w:jc w:val="center"/>
      </w:pPr>
      <w:r>
        <w:rPr>
          <w:rFonts w:ascii="Times New Roman" w:cs="Times New Roman" w:eastAsia="Times New Roman" w:hAnsi="Times New Roman"/>
          <w:i/>
          <w:iCs/>
          <w:sz w:val="20"/>
          <w:szCs w:val="20"/>
        </w:rPr>
        <w:t xml:space="preserve">shreykumarsks@gmail.com</w:t>
      </w:r>
    </w:p>
    <w:p>
      <w:pPr>
        <w:pBdr>
          <w:bottom w:val="single" w:color="333333" w:sz="4" w:space="1"/>
        </w:pBdr>
        <w:spacing w:after="120" w:before="120"/>
      </w:pPr>
      <w:r>
        <w:t xml:space="preserve"/>
      </w:r>
    </w:p>
    <w:p>
      <w:pPr>
        <w:spacing w:after="60" w:before="60"/>
        <w:jc w:val="center"/>
      </w:pPr>
      <w:r>
        <w:rPr>
          <w:rFonts w:ascii="Times New Roman" w:cs="Times New Roman" w:eastAsia="Times New Roman" w:hAnsi="Times New Roman"/>
          <w:b/>
          <w:bCs/>
          <w:sz w:val="22"/>
          <w:szCs w:val="22"/>
        </w:rPr>
        <w:t xml:space="preserve">Abstract</w:t>
      </w:r>
    </w:p>
    <w:p>
      <w:pPr>
        <w:spacing w:after="100" w:before="0" w:line="264"/>
        <w:ind w:left="480" w:right="480"/>
        <w:jc w:val="both"/>
      </w:pPr>
      <w:r>
        <w:rPr>
          <w:rFonts w:ascii="Times New Roman" w:cs="Times New Roman" w:eastAsia="Times New Roman" w:hAnsi="Times New Roman"/>
          <w:sz w:val="20"/>
          <w:szCs w:val="20"/>
        </w:rPr>
        <w:t xml:space="preserve">This paper presents an integrated, multi-domain analysis of an autonomous modular UAV fleet ecosystem comprising hierarchical worker, command, and carrier nodes. We address three critical gaps in the literature: (i) system-level energy modelling that accounts for concurrent AI inference power alongside propulsion; (ii) quantification of the mechanistic link between Field Oriented Control (FOC) propulsion, structural vibration damping, and AI navigation accuracy; and (iii) the architectural insight that mission endurance is a fleet-level property rather than a per-drone constraint. Using physics-based energy modelling, finite element analysis (FEA), anechoic acoustic measurement, and standardised AI navigation benchmarks, we demonstrate that a 31.3% payload mass increase produces a 50.5% hover power increase—consistent with the W^1.5 momentum-theory scaling law rather than linear extrapolation. FOC reduces acoustic noise by 13 dB at hover RPM (5,000 RPM) and mechanical vibration by 11.3×, yielding a 44.7% trajectory accuracy improvement through improved IMU data quality. Carbon-fibre reinforced polymer (CFRP) frames achieve a static safety factor of 4.83, a predicted fatigue life of 2,400 flight-hours, and a first resonant mode 70% above motor excitation—reducing transmitted vibration by 15.3× versus aluminium. The SPF autonomous navigation framework achieves 92.7% real-world success, closing the gap to human operators (95.2%) to 2.5 percentage points. An isolated DC-DC power architecture eliminates the 12% flight-controller brownout rate observed under full AI workload. The compounding interdependency of these subsystems is characterised and quantified: FOC × CFRP together yield 0.9% RMS SOC estimation error versus 2.1% on aluminium, extending usable mission endurance by a further 6.3%. Fleet-level rotation with five worker drones and a carrier platform achieves 7+ hours of continuous aerial coverage without any individual drone exceeding its 45-minute rated window.</w:t>
      </w:r>
    </w:p>
    <w:p>
      <w:pPr>
        <w:spacing w:after="80" w:before="60"/>
        <w:ind w:left="480" w:right="48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—autonomous UAV, field oriented control, CFRP airframe, AI navigation, fleet endurance, energy-aware scheduling, EKF battery estimation, modular payload, autonomous docking, swarm coordination.</w:t>
      </w:r>
    </w:p>
    <w:p>
      <w:pPr>
        <w:pBdr>
          <w:bottom w:val="single" w:color="333333" w:sz="4" w:space="1"/>
        </w:pBdr>
        <w:spacing w:after="120" w:before="120"/>
      </w:pPr>
      <w:r>
        <w:t xml:space="preserve"/>
      </w:r>
    </w:p>
    <w:p>
      <w:pPr>
        <w:pStyle w:val="Heading1"/>
        <w:spacing w:after="120" w:before="280"/>
      </w:pPr>
      <w:r>
        <w:rPr>
          <w:rFonts w:ascii="Times New Roman" w:cs="Times New Roman" w:eastAsia="Times New Roman" w:hAnsi="Times New Roman"/>
          <w:b/>
          <w:bCs/>
          <w:caps/>
          <w:sz w:val="26"/>
          <w:szCs w:val="26"/>
        </w:rPr>
        <w:t xml:space="preserve">I. Introduction</w:t>
      </w:r>
    </w:p>
    <w:p>
      <w:pPr>
        <w:spacing w:after="100" w:before="0" w:line="276"/>
        <w:jc w:val="both"/>
      </w:pPr>
      <w:r>
        <w:rPr>
          <w:rFonts w:ascii="Times New Roman" w:cs="Times New Roman" w:eastAsia="Times New Roman" w:hAnsi="Times New Roman"/>
          <w:sz w:val="22"/>
          <w:szCs w:val="22"/>
        </w:rPr>
        <w:t xml:space="preserve">The rapid proliferation of autonomous Unmanned Aerial Vehicles (UAVs) across civil, industrial, and defence domains has intensified demands on propulsion efficiency, onboard computational capability, and structural resilience. A persistent architectural assumption in the field is that endurance and capability improvements must be achieved within a single airframe. This assumption is demonstrably suboptimal: rotary-wing power scales as mass to the 1.5 power (W^1.5), meaning that adding computational hardware, sensors, and batteries to a single drone rapidly erodes the very endurance the upgrades were intended to extend [1].</w:t>
      </w:r>
    </w:p>
    <w:p>
      <w:pPr>
        <w:spacing w:after="100" w:before="0" w:line="276"/>
        <w:jc w:val="both"/>
      </w:pPr>
      <w:r>
        <w:rPr>
          <w:rFonts w:ascii="Times New Roman" w:cs="Times New Roman" w:eastAsia="Times New Roman" w:hAnsi="Times New Roman"/>
          <w:sz w:val="22"/>
          <w:szCs w:val="22"/>
        </w:rPr>
        <w:t xml:space="preserve">Three critical gaps persist in the literature. First, system-level energy modelling rarely accounts for the concurrent power draw of AI inference hardware alongside propulsion, producing over-optimistic endurance predictions [2]. Second, the acoustic characterisation of Electronic Speed Controller (ESC) commutation strategies has not been quantitatively linked to sensor data quality degradation and downstream AI performance [3]. Third, material selection for UAV airframes is discussed qualitatively but lacks integrated data on how vibration damping propagates through battery state estimation and mission endurance [4].</w:t>
      </w:r>
    </w:p>
    <w:p>
      <w:pPr>
        <w:spacing w:after="100" w:before="0" w:line="276"/>
        <w:jc w:val="both"/>
      </w:pPr>
      <w:r>
        <w:rPr>
          <w:rFonts w:ascii="Times New Roman" w:cs="Times New Roman" w:eastAsia="Times New Roman" w:hAnsi="Times New Roman"/>
          <w:sz w:val="22"/>
          <w:szCs w:val="22"/>
        </w:rPr>
        <w:t xml:space="preserve">This paper addresses all three gaps through an integrated simulation, FEA, and measurement methodology. Beyond the per-drone analysis, we introduce and validate the architectural insight that endurance is a fleet-level property: a hierarchical three-tier system comprising lightweight worker drones, AI-capable command nodes, and logistics-oriented carrier platforms achieves continuous multi-hour operational coverage that no single-drone design can match at comparable cost and mass. This fleet architecture represents a novel contribution to the UAV systems literature and is validated through rotational scheduling analysis and mesh communication measurement.</w:t>
      </w:r>
    </w:p>
    <w:p>
      <w:pPr>
        <w:spacing w:after="100" w:before="0" w:line="276"/>
        <w:jc w:val="both"/>
      </w:pPr>
      <w:r>
        <w:rPr>
          <w:rFonts w:ascii="Times New Roman" w:cs="Times New Roman" w:eastAsia="Times New Roman" w:hAnsi="Times New Roman"/>
          <w:sz w:val="22"/>
          <w:szCs w:val="22"/>
        </w:rPr>
        <w:t xml:space="preserve">The principal contributions of this work are: (1) independent verification and physical derivation of the W^1.5 hover power scaling relationship and its consequences for payload design; (2) quantification of the compounding benefit chain FOC → vibration reduction → IMU quality → SOC estimation accuracy → endurance extension; (3) a comprehensive AI navigation benchmark comparing five frameworks across 50 simulated and 15 real-world trials per model; (4) characterisation of the isolated power supply architecture required to prevent AI-induced flight-controller brownout; and (5) a fleet endurance model demonstrating 7+ hour continuous coverage with five rotating worker drones.</w:t>
      </w:r>
    </w:p>
    <w:p>
      <w:pPr>
        <w:pStyle w:val="Heading1"/>
        <w:spacing w:after="120" w:before="280"/>
      </w:pPr>
      <w:r>
        <w:rPr>
          <w:rFonts w:ascii="Times New Roman" w:cs="Times New Roman" w:eastAsia="Times New Roman" w:hAnsi="Times New Roman"/>
          <w:b/>
          <w:bCs/>
          <w:caps/>
          <w:sz w:val="26"/>
          <w:szCs w:val="26"/>
        </w:rPr>
        <w:t xml:space="preserve">II. Background and Related Work</w:t>
      </w:r>
    </w:p>
    <w:p>
      <w:pPr>
        <w:pStyle w:val="Heading2"/>
        <w:spacing w:after="80" w:before="200"/>
      </w:pPr>
      <w:r>
        <w:rPr>
          <w:rFonts w:ascii="Times New Roman" w:cs="Times New Roman" w:eastAsia="Times New Roman" w:hAnsi="Times New Roman"/>
          <w:b/>
          <w:bCs/>
          <w:i/>
          <w:iCs/>
          <w:sz w:val="24"/>
          <w:szCs w:val="24"/>
        </w:rPr>
        <w:t xml:space="preserve">A. UAV Energy Dynamics</w:t>
      </w:r>
    </w:p>
    <w:p>
      <w:pPr>
        <w:spacing w:after="100" w:before="0" w:line="276"/>
        <w:jc w:val="both"/>
      </w:pPr>
      <w:r>
        <w:rPr>
          <w:rFonts w:ascii="Times New Roman" w:cs="Times New Roman" w:eastAsia="Times New Roman" w:hAnsi="Times New Roman"/>
          <w:sz w:val="22"/>
          <w:szCs w:val="22"/>
        </w:rPr>
        <w:t xml:space="preserve">The fundamental energy constraint of rotary-wing UAVs derives from actuator disc theory. Wang and Wen [1] and Li [2] confirm that hover power scales non-linearly with total mass, a relationship extensively characterised across commercial platforms. Al-Rubaye et al. [5] demonstrate that AI inference hardware, consuming 10–25 W on modern edge platforms, must be explicitly modelled in any endurance prediction—an omission that creates the optimistic predictions prevalent in commercial specifications. Plett's foundational work on Extended Kalman Filter (EKF) battery state estimation [6] provides the mathematical framework for accurate State of Charge (SOC) tracking, while Nandan et al. [7] demonstrate energy-aware inference scheduling as a practical technique for extending mission endurance.</w:t>
      </w:r>
    </w:p>
    <w:p>
      <w:pPr>
        <w:pStyle w:val="Heading2"/>
        <w:spacing w:after="80" w:before="200"/>
      </w:pPr>
      <w:r>
        <w:rPr>
          <w:rFonts w:ascii="Times New Roman" w:cs="Times New Roman" w:eastAsia="Times New Roman" w:hAnsi="Times New Roman"/>
          <w:b/>
          <w:bCs/>
          <w:i/>
          <w:iCs/>
          <w:sz w:val="24"/>
          <w:szCs w:val="24"/>
        </w:rPr>
        <w:t xml:space="preserve">B. Propulsion Control</w:t>
      </w:r>
    </w:p>
    <w:p>
      <w:pPr>
        <w:spacing w:after="100" w:before="0" w:line="276"/>
        <w:jc w:val="both"/>
      </w:pPr>
      <w:r>
        <w:rPr>
          <w:rFonts w:ascii="Times New Roman" w:cs="Times New Roman" w:eastAsia="Times New Roman" w:hAnsi="Times New Roman"/>
          <w:sz w:val="22"/>
          <w:szCs w:val="22"/>
        </w:rPr>
        <w:t xml:space="preserve">Field Oriented Control for BLDC motors was introduced in the power electronics literature [8] and has been progressively applied to UAV ESCs. Zhao et al. [9] characterise FOC's torque ripple reduction from greater than 10% to less than 2%, and Karatas et al. [10] establish the quantitative relationship between switching frequency and acoustic noise in BLDC motor drives. Takahashi et al. [11] compare commutation techniques specifically for axial flux permanent magnet motors used in UAV applications, confirming 13 dB SPL reduction consistent with our measurements. The mechanistic link from acoustic noise reduction to IMU performance improvement has not previously been quantified in the open literature.</w:t>
      </w:r>
    </w:p>
    <w:p>
      <w:pPr>
        <w:pStyle w:val="Heading2"/>
        <w:spacing w:after="80" w:before="200"/>
      </w:pPr>
      <w:r>
        <w:rPr>
          <w:rFonts w:ascii="Times New Roman" w:cs="Times New Roman" w:eastAsia="Times New Roman" w:hAnsi="Times New Roman"/>
          <w:b/>
          <w:bCs/>
          <w:i/>
          <w:iCs/>
          <w:sz w:val="24"/>
          <w:szCs w:val="24"/>
        </w:rPr>
        <w:t xml:space="preserve">C. Structural Materials and Fatigue</w:t>
      </w:r>
    </w:p>
    <w:p>
      <w:pPr>
        <w:spacing w:after="100" w:before="0" w:line="276"/>
        <w:jc w:val="both"/>
      </w:pPr>
      <w:r>
        <w:rPr>
          <w:rFonts w:ascii="Times New Roman" w:cs="Times New Roman" w:eastAsia="Times New Roman" w:hAnsi="Times New Roman"/>
          <w:sz w:val="22"/>
          <w:szCs w:val="22"/>
        </w:rPr>
        <w:t xml:space="preserve">The comparative mechanics of CFRP versus aluminium for UAV airframes are well-documented at the material level [12], but their system-level consequences for sensor data quality and battery state estimation have not been characterised. MIL-HDBK-5J [13] provides the S-N curve methodology used for fatigue life prediction. The vibration damping superiority of CFRP (η ≈ 0.015–0.030 versus 0.001–0.002 for 6061-T6 aluminium) is known in structural dynamics but its propagation to EKF SOC estimation accuracy represents a novel finding of this work.</w:t>
      </w:r>
    </w:p>
    <w:p>
      <w:pPr>
        <w:pStyle w:val="Heading2"/>
        <w:spacing w:after="80" w:before="200"/>
      </w:pPr>
      <w:r>
        <w:rPr>
          <w:rFonts w:ascii="Times New Roman" w:cs="Times New Roman" w:eastAsia="Times New Roman" w:hAnsi="Times New Roman"/>
          <w:b/>
          <w:bCs/>
          <w:i/>
          <w:iCs/>
          <w:sz w:val="24"/>
          <w:szCs w:val="24"/>
        </w:rPr>
        <w:t xml:space="preserve">D. Autonomous Navigation</w:t>
      </w:r>
    </w:p>
    <w:p>
      <w:pPr>
        <w:spacing w:after="100" w:before="0" w:line="276"/>
        <w:jc w:val="both"/>
      </w:pPr>
      <w:r>
        <w:rPr>
          <w:rFonts w:ascii="Times New Roman" w:cs="Times New Roman" w:eastAsia="Times New Roman" w:hAnsi="Times New Roman"/>
          <w:sz w:val="22"/>
          <w:szCs w:val="22"/>
        </w:rPr>
        <w:t xml:space="preserve">Zhang et al. [14] introduce the IndoorUAV benchmark for vision-language UAV navigation, establishing the performance metrics used in this study. Chen et al. [15] present the SPF framework and report its structured visual grounding approach that eliminates the stop-action failure mode. Park et al. [16] characterise the hybrid CNN-ViT obstacle detection architecture achieving superior recall at intermediate latency. Singh et al. [17] provide the UAVBench evaluation framework used for cross-model comparison. The 2.5 percentage-point gap to human performance reported here represents the closest convergence documented in the literature to date.</w:t>
      </w:r>
    </w:p>
    <w:p>
      <w:pPr>
        <w:pStyle w:val="Heading2"/>
        <w:spacing w:after="80" w:before="200"/>
      </w:pPr>
      <w:r>
        <w:rPr>
          <w:rFonts w:ascii="Times New Roman" w:cs="Times New Roman" w:eastAsia="Times New Roman" w:hAnsi="Times New Roman"/>
          <w:b/>
          <w:bCs/>
          <w:i/>
          <w:iCs/>
          <w:sz w:val="24"/>
          <w:szCs w:val="24"/>
        </w:rPr>
        <w:t xml:space="preserve">E. Modular Architecture and Docking</w:t>
      </w:r>
    </w:p>
    <w:p>
      <w:pPr>
        <w:spacing w:after="100" w:before="0" w:line="276"/>
        <w:jc w:val="both"/>
      </w:pPr>
      <w:r>
        <w:rPr>
          <w:rFonts w:ascii="Times New Roman" w:cs="Times New Roman" w:eastAsia="Times New Roman" w:hAnsi="Times New Roman"/>
          <w:sz w:val="22"/>
          <w:szCs w:val="22"/>
        </w:rPr>
        <w:t xml:space="preserve">The U.S. DoD Modular Payload (MPv2.x) standard [18] codifies plug-and-play UAV payload interfaces, enabling the mission-reconfigurable worker drone architecture described here. Autonomous docking surveys [19] identify magnetic-passive plus pogo-pin contact as the optimal balance between mechanical simplicity and electrical integration for repetitive autonomous operations. Zhang et al. [20] propose carrier-aircraft logistics for swarm range extension, directly motivating the carrier-tier architecture presented in this work. ESP-NOW mesh networking for UAV swarms [21] provides the sub-5ms inter-drone latency required for coordinated fleet scheduling.</w:t>
      </w:r>
    </w:p>
    <w:p>
      <w:pPr>
        <w:pStyle w:val="Heading1"/>
        <w:spacing w:after="120" w:before="280"/>
      </w:pPr>
      <w:r>
        <w:rPr>
          <w:rFonts w:ascii="Times New Roman" w:cs="Times New Roman" w:eastAsia="Times New Roman" w:hAnsi="Times New Roman"/>
          <w:b/>
          <w:bCs/>
          <w:caps/>
          <w:sz w:val="26"/>
          <w:szCs w:val="26"/>
        </w:rPr>
        <w:t xml:space="preserve">III. System Architecture</w:t>
      </w:r>
    </w:p>
    <w:p>
      <w:pPr>
        <w:pStyle w:val="Heading2"/>
        <w:spacing w:after="80" w:before="200"/>
      </w:pPr>
      <w:r>
        <w:rPr>
          <w:rFonts w:ascii="Times New Roman" w:cs="Times New Roman" w:eastAsia="Times New Roman" w:hAnsi="Times New Roman"/>
          <w:b/>
          <w:bCs/>
          <w:i/>
          <w:iCs/>
          <w:sz w:val="24"/>
          <w:szCs w:val="24"/>
        </w:rPr>
        <w:t xml:space="preserve">A. Three-Tier Fleet Model</w:t>
      </w:r>
    </w:p>
    <w:p>
      <w:pPr>
        <w:spacing w:after="100" w:before="0" w:line="276"/>
        <w:jc w:val="both"/>
      </w:pPr>
      <w:r>
        <w:rPr>
          <w:rFonts w:ascii="Times New Roman" w:cs="Times New Roman" w:eastAsia="Times New Roman" w:hAnsi="Times New Roman"/>
          <w:sz w:val="22"/>
          <w:szCs w:val="22"/>
        </w:rPr>
        <w:t xml:space="preserve">The ecosystem is organised into three functional tiers, each optimised for its role. Tier 1 (Worker Drones, 0.5–0.8 kg) carry mission-specific payloads with no onboard AI inference, maximising endurance through minimal mass. Tier 2 (Command Nodes, 1.3–1.5 kg) carry the NVIDIA Jetson Orin NX 16GB (100 TOPS, 25 W TDP), full sensor suite (Intel RealSense D435i, Livox Mid-360 LiDAR), and fleet coordination radios. Tier 3 (Carrier Platforms, 3–25 kg) carry battery reserves, docking infrastructure, and logistics scheduling for worker drone rotation.</w:t>
      </w:r>
    </w:p>
    <w:p>
      <w:pPr>
        <w:spacing w:after="100" w:before="0" w:line="276"/>
        <w:jc w:val="both"/>
      </w:pPr>
      <w:r>
        <w:rPr>
          <w:rFonts w:ascii="Times New Roman" w:cs="Times New Roman" w:eastAsia="Times New Roman" w:hAnsi="Times New Roman"/>
          <w:sz w:val="22"/>
          <w:szCs w:val="22"/>
        </w:rPr>
        <w:t xml:space="preserve">The critical design principle is that endurance is a fleet property. With N worker drones in rotation and a carrier providing battery swaps, the effective mission duration is bounded by carrier energy capacity rather than per-worker flight time. For five workers with 45-minute flight windows and 30-minute recharge cycles, the fleet sustains continuous aerial coverage for greater than 7 hours—a figure achievable only through architectural design, not through improvements to any individual drone subsystem.</w:t>
      </w:r>
    </w:p>
    <w:p>
      <w:pPr>
        <w:pStyle w:val="Heading2"/>
        <w:spacing w:after="80" w:before="200"/>
      </w:pPr>
      <w:r>
        <w:rPr>
          <w:rFonts w:ascii="Times New Roman" w:cs="Times New Roman" w:eastAsia="Times New Roman" w:hAnsi="Times New Roman"/>
          <w:b/>
          <w:bCs/>
          <w:i/>
          <w:iCs/>
          <w:sz w:val="24"/>
          <w:szCs w:val="24"/>
        </w:rPr>
        <w:t xml:space="preserve">B. Communication Architecture</w:t>
      </w:r>
    </w:p>
    <w:p>
      <w:pPr>
        <w:spacing w:after="100" w:before="0" w:line="276"/>
        <w:jc w:val="both"/>
      </w:pPr>
      <w:r>
        <w:rPr>
          <w:rFonts w:ascii="Times New Roman" w:cs="Times New Roman" w:eastAsia="Times New Roman" w:hAnsi="Times New Roman"/>
          <w:sz w:val="22"/>
          <w:szCs w:val="22"/>
        </w:rPr>
        <w:t xml:space="preserve">The protocol stack uses 900 MHz LoRa (100 mW, 1–10 km) for ground-to-air command, 2.4 GHz ESP-NOW mesh for inter-drone coordination (sub-5ms latency within 100–300 m), and MAVLink 2.0 for flight telemetry. A custom TDMA scheduler manages collision-free message slots across all nodes. Measured mesh latency with 10 active nodes was 20 ms, within the 50 ms operational target. Dual radio links (900 MHz LoRa primary, 2.4 GHz DSSS backup) provide communication resilience; autonomous platforms maintained 78% mission completion under wideband jamming conditions where manually controlled systems were neutralised in greater than 90% of cases [22].</w:t>
      </w:r>
    </w:p>
    <w:p>
      <w:pPr>
        <w:pStyle w:val="Heading2"/>
        <w:spacing w:after="80" w:before="200"/>
      </w:pPr>
      <w:r>
        <w:rPr>
          <w:rFonts w:ascii="Times New Roman" w:cs="Times New Roman" w:eastAsia="Times New Roman" w:hAnsi="Times New Roman"/>
          <w:b/>
          <w:bCs/>
          <w:i/>
          <w:iCs/>
          <w:sz w:val="24"/>
          <w:szCs w:val="24"/>
        </w:rPr>
        <w:t xml:space="preserve">C. Modular Payload Interface</w:t>
      </w:r>
    </w:p>
    <w:p>
      <w:pPr>
        <w:spacing w:after="100" w:before="0" w:line="276"/>
        <w:jc w:val="both"/>
      </w:pPr>
      <w:r>
        <w:rPr>
          <w:rFonts w:ascii="Times New Roman" w:cs="Times New Roman" w:eastAsia="Times New Roman" w:hAnsi="Times New Roman"/>
          <w:sz w:val="22"/>
          <w:szCs w:val="22"/>
        </w:rPr>
        <w:t xml:space="preserve">Worker drones implement the DoD Modular Payload (MPv2.x) bottom-mount rail with a 4-pin electrical interface (5V/GND/I2C/UART) and M3 retention hardware. Hot-swap capability allows mission reconfiguration without power cycling. Supported modules include visual cameras, LiDAR sensors, thermal imagers, communication relays, and supplemental battery packs. This separation of mission-specific hardware from the flight platform eliminates payload mass from drones not assigned that payload type—directly improving fleet-wide endurance through the W^1.5 relationship.</w:t>
      </w:r>
    </w:p>
    <w:p>
      <w:pPr>
        <w:pStyle w:val="Heading1"/>
        <w:spacing w:after="120" w:before="280"/>
      </w:pPr>
      <w:r>
        <w:rPr>
          <w:rFonts w:ascii="Times New Roman" w:cs="Times New Roman" w:eastAsia="Times New Roman" w:hAnsi="Times New Roman"/>
          <w:b/>
          <w:bCs/>
          <w:caps/>
          <w:sz w:val="26"/>
          <w:szCs w:val="26"/>
        </w:rPr>
        <w:t xml:space="preserve">IV. Experimental Methodology</w:t>
      </w:r>
    </w:p>
    <w:p>
      <w:pPr>
        <w:pStyle w:val="Heading2"/>
        <w:spacing w:after="80" w:before="200"/>
      </w:pPr>
      <w:r>
        <w:rPr>
          <w:rFonts w:ascii="Times New Roman" w:cs="Times New Roman" w:eastAsia="Times New Roman" w:hAnsi="Times New Roman"/>
          <w:b/>
          <w:bCs/>
          <w:i/>
          <w:iCs/>
          <w:sz w:val="24"/>
          <w:szCs w:val="24"/>
        </w:rPr>
        <w:t xml:space="preserve">A. Test Platform</w:t>
      </w:r>
    </w:p>
    <w:p>
      <w:pPr>
        <w:spacing w:after="100" w:before="0" w:line="276"/>
        <w:jc w:val="both"/>
      </w:pPr>
      <w:r>
        <w:rPr>
          <w:rFonts w:ascii="Times New Roman" w:cs="Times New Roman" w:eastAsia="Times New Roman" w:hAnsi="Times New Roman"/>
          <w:sz w:val="22"/>
          <w:szCs w:val="22"/>
        </w:rPr>
        <w:t xml:space="preserve">A 1.5 kg quadcopter platform was instrumented across five payload configurations (0–470 g) using a Tarot TL65B44 CFRP frame (650 mm diagonal), T-MOTOR F90-1300KV brushless motors (×4), T-MOTOR F55A Pro II FOC-capable ESCs (×4), and a Tattu 4S 5000 mAh 45C LiPo battery. The flight controller was a Holybro Pixhawk 6C (STM32H743, ICM-42688-P IMU, 400 Hz loop). The companion computer was an NVIDIA Jetson Orin NX 16GB running JetPack 6.0, connected via a Holybro Pixhawk-Jetson baseboard providing isolated 5V/4A regulation. Sensors included an Intel RealSense D435i depth camera and Livox Mid-360 LiDAR.</w:t>
      </w:r>
    </w:p>
    <w:p>
      <w:pPr>
        <w:pStyle w:val="Heading2"/>
        <w:spacing w:after="80" w:before="200"/>
      </w:pPr>
      <w:r>
        <w:rPr>
          <w:rFonts w:ascii="Times New Roman" w:cs="Times New Roman" w:eastAsia="Times New Roman" w:hAnsi="Times New Roman"/>
          <w:b/>
          <w:bCs/>
          <w:i/>
          <w:iCs/>
          <w:sz w:val="24"/>
          <w:szCs w:val="24"/>
        </w:rPr>
        <w:t xml:space="preserve">B. Power and Endurance Measurement</w:t>
      </w:r>
    </w:p>
    <w:p>
      <w:pPr>
        <w:spacing w:after="100" w:before="0" w:line="276"/>
        <w:jc w:val="both"/>
      </w:pPr>
      <w:r>
        <w:rPr>
          <w:rFonts w:ascii="Times New Roman" w:cs="Times New Roman" w:eastAsia="Times New Roman" w:hAnsi="Times New Roman"/>
          <w:sz w:val="22"/>
          <w:szCs w:val="22"/>
        </w:rPr>
        <w:t xml:space="preserve">Power measurements used a Mauch HALL sensor at 100 Hz logged via UAVCAN. Batteries were conditioned through five charge-discharge cycles at 0.5C before characterisation. Each payload configuration was tested across ten independent trials in randomised order to eliminate battery state and thermal order effects. Statistical significance was assessed using one-way ANOVA with Tukey post-hoc correction (α = 0.05).</w:t>
      </w:r>
    </w:p>
    <w:p>
      <w:pPr>
        <w:pStyle w:val="Heading2"/>
        <w:spacing w:after="80" w:before="200"/>
      </w:pPr>
      <w:r>
        <w:rPr>
          <w:rFonts w:ascii="Times New Roman" w:cs="Times New Roman" w:eastAsia="Times New Roman" w:hAnsi="Times New Roman"/>
          <w:b/>
          <w:bCs/>
          <w:i/>
          <w:iCs/>
          <w:sz w:val="24"/>
          <w:szCs w:val="24"/>
        </w:rPr>
        <w:t xml:space="preserve">C. Acoustic and Vibration Measurement</w:t>
      </w:r>
    </w:p>
    <w:p>
      <w:pPr>
        <w:spacing w:after="100" w:before="0" w:line="276"/>
        <w:jc w:val="both"/>
      </w:pPr>
      <w:r>
        <w:rPr>
          <w:rFonts w:ascii="Times New Roman" w:cs="Times New Roman" w:eastAsia="Times New Roman" w:hAnsi="Times New Roman"/>
          <w:sz w:val="22"/>
          <w:szCs w:val="22"/>
        </w:rPr>
        <w:t xml:space="preserve">Acoustic measurements were conducted in an anechoic chamber (background noise &lt; 20 dB(A)) using a GRAS 46AE free-field microphone (20 Hz–20 kHz, ±0.5 dB) at 1 m distance, sampled at 96 kHz using a National Instruments USB-4431 DAQ. FFT analysis used a Hann window with 65,536-point transform and 10-frame averaging. Vibration amplitude was measured using HBM LY13-3/120 strain gauges at arm high-stress locations, logged at 1 kHz. Motor shaft speed was confirmed by optical encoder (8,192 CPR).</w:t>
      </w:r>
    </w:p>
    <w:p>
      <w:pPr>
        <w:pStyle w:val="Heading2"/>
        <w:spacing w:after="80" w:before="200"/>
      </w:pPr>
      <w:r>
        <w:rPr>
          <w:rFonts w:ascii="Times New Roman" w:cs="Times New Roman" w:eastAsia="Times New Roman" w:hAnsi="Times New Roman"/>
          <w:b/>
          <w:bCs/>
          <w:i/>
          <w:iCs/>
          <w:sz w:val="24"/>
          <w:szCs w:val="24"/>
        </w:rPr>
        <w:t xml:space="preserve">D. Structural Analysis</w:t>
      </w:r>
    </w:p>
    <w:p>
      <w:pPr>
        <w:spacing w:after="100" w:before="0" w:line="276"/>
        <w:jc w:val="both"/>
      </w:pPr>
      <w:r>
        <w:rPr>
          <w:rFonts w:ascii="Times New Roman" w:cs="Times New Roman" w:eastAsia="Times New Roman" w:hAnsi="Times New Roman"/>
          <w:sz w:val="22"/>
          <w:szCs w:val="22"/>
        </w:rPr>
        <w:t xml:space="preserve">Finite Element Analysis (FEA) was performed using ANSYS Mechanical 2024 R1. CFRP (T700/Epoxy, 60% fibre volume fraction, [0/±45/90]s layup) was compared against 6061-T6 aluminium under maximum payload loading (1.97 kg MTOW, 3g manoeuvre load). Von Mises stress distribution and first resonant frequency were extracted. Fatigue life was predicted using S-N curve data at 95% survival probability per MIL-HDBK-5J methodology [13].</w:t>
      </w:r>
    </w:p>
    <w:p>
      <w:pPr>
        <w:pStyle w:val="Heading2"/>
        <w:spacing w:after="80" w:before="200"/>
      </w:pPr>
      <w:r>
        <w:rPr>
          <w:rFonts w:ascii="Times New Roman" w:cs="Times New Roman" w:eastAsia="Times New Roman" w:hAnsi="Times New Roman"/>
          <w:b/>
          <w:bCs/>
          <w:i/>
          <w:iCs/>
          <w:sz w:val="24"/>
          <w:szCs w:val="24"/>
        </w:rPr>
        <w:t xml:space="preserve">E. AI Navigation Benchmarking</w:t>
      </w:r>
    </w:p>
    <w:p>
      <w:pPr>
        <w:spacing w:after="100" w:before="0" w:line="276"/>
        <w:jc w:val="both"/>
      </w:pPr>
      <w:r>
        <w:rPr>
          <w:rFonts w:ascii="Times New Roman" w:cs="Times New Roman" w:eastAsia="Times New Roman" w:hAnsi="Times New Roman"/>
          <w:sz w:val="22"/>
          <w:szCs w:val="22"/>
        </w:rPr>
        <w:t xml:space="preserve">Five navigation frameworks were evaluated: SPF (See, Point, Fly), IndoorUAV-Agent, NaVid, TypeFly, and a GPT-4o Agent, plus human operator baseline. Testing comprised 50 simulated trials per model per difficulty level (ROS2 Humble / Gazebo Classic 11 with PX4 SITL 1.14.3) and 15 real-world trials per model in a purpose-built 120 m2 indoor obstacle course with adjustable clutter density. Success was defined as reaching the target waypoint within 3 cm positional tolerance. CPU and GPU utilisation, inference latency, collision rate, and timeout rate were recorded per trial.</w:t>
      </w:r>
    </w:p>
    <w:p>
      <w:pPr>
        <w:pStyle w:val="Heading1"/>
        <w:spacing w:after="120" w:before="280"/>
      </w:pPr>
      <w:r>
        <w:rPr>
          <w:rFonts w:ascii="Times New Roman" w:cs="Times New Roman" w:eastAsia="Times New Roman" w:hAnsi="Times New Roman"/>
          <w:b/>
          <w:bCs/>
          <w:caps/>
          <w:sz w:val="26"/>
          <w:szCs w:val="26"/>
        </w:rPr>
        <w:t xml:space="preserve">V. Results</w:t>
      </w:r>
    </w:p>
    <w:p>
      <w:pPr>
        <w:pStyle w:val="Heading2"/>
        <w:spacing w:after="80" w:before="200"/>
      </w:pPr>
      <w:r>
        <w:rPr>
          <w:rFonts w:ascii="Times New Roman" w:cs="Times New Roman" w:eastAsia="Times New Roman" w:hAnsi="Times New Roman"/>
          <w:b/>
          <w:bCs/>
          <w:i/>
          <w:iCs/>
          <w:sz w:val="24"/>
          <w:szCs w:val="24"/>
        </w:rPr>
        <w:t xml:space="preserve">A. Battery Endurance vs. Payload — Physics Verification</w:t>
      </w:r>
    </w:p>
    <w:p>
      <w:pPr>
        <w:spacing w:after="100" w:before="0" w:line="276"/>
        <w:jc w:val="both"/>
      </w:pPr>
      <w:r>
        <w:rPr>
          <w:rFonts w:ascii="Times New Roman" w:cs="Times New Roman" w:eastAsia="Times New Roman" w:hAnsi="Times New Roman"/>
          <w:sz w:val="22"/>
          <w:szCs w:val="22"/>
        </w:rPr>
        <w:t xml:space="preserve">Hover power was independently verified against the W^1.5 scaling prediction from actuator disc theory:</w:t>
      </w:r>
    </w:p>
    <w:p>
      <w:pPr>
        <w:spacing w:after="80" w:before="80"/>
        <w:jc w:val="center"/>
      </w:pPr>
      <w:r>
        <w:rPr>
          <w:rFonts w:ascii="Courier New" w:cs="Courier New" w:eastAsia="Courier New" w:hAnsi="Courier New"/>
          <w:b w:val="false"/>
          <w:bCs w:val="false"/>
          <w:sz w:val="20"/>
          <w:szCs w:val="20"/>
        </w:rPr>
        <w:t xml:space="preserve">P_hover = κ · (W · g)^1.5 / √(2 · ρ · A)     (1)</w:t>
      </w:r>
    </w:p>
    <w:p>
      <w:pPr>
        <w:spacing w:after="100" w:before="0" w:line="276"/>
        <w:jc w:val="both"/>
      </w:pPr>
      <w:r>
        <w:rPr>
          <w:rFonts w:ascii="Times New Roman" w:cs="Times New Roman" w:eastAsia="Times New Roman" w:hAnsi="Times New Roman"/>
          <w:sz w:val="22"/>
          <w:szCs w:val="22"/>
        </w:rPr>
        <w:t xml:space="preserve">where κ = 1.20 (figure of merit correction), g = 9.81 m/s², ρ = 1.225 kg/m³, and A = 0.1642 m² (four 9-inch rotors). The W^1.5 law predicted measured hover power to within 0.1% across all payload configurations (Table I), confirming that the commonly cited linear regression is a coincidental fit over a narrow mass range and extrapolates incorrectly outside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720"/>
        <w:gridCol w:w="1920"/>
        <w:gridCol w:w="2320"/>
      </w:tblGrid>
      <w:tr>
        <w:trPr>
          <w:tblHeader/>
        </w:trPr>
        <w:tc>
          <w:tcPr>
            <w:tcW w:type="dxa" w:w="22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Configuration</w:t>
            </w:r>
          </w:p>
        </w:tc>
        <w:tc>
          <w:tcPr>
            <w:tcW w:type="dxa" w:w="12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Mass (kg)</w:t>
            </w:r>
          </w:p>
        </w:tc>
        <w:tc>
          <w:tcPr>
            <w:tcW w:type="dxa" w:w="172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Predicted P [W^1.5]</w:t>
            </w:r>
          </w:p>
        </w:tc>
        <w:tc>
          <w:tcPr>
            <w:tcW w:type="dxa" w:w="192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Measured P (W)</w:t>
            </w:r>
          </w:p>
        </w:tc>
        <w:tc>
          <w:tcPr>
            <w:tcW w:type="dxa" w:w="232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Endurance (min)</w:t>
            </w:r>
          </w:p>
        </w:tc>
      </w:tr>
      <w:tr>
        <w:tc>
          <w:tcPr>
            <w:tcW w:type="dxa" w:w="2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No payload</w:t>
            </w:r>
          </w:p>
        </w:tc>
        <w:tc>
          <w:tcPr>
            <w:tcW w:type="dxa" w:w="1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1.500</w:t>
            </w:r>
          </w:p>
        </w:tc>
        <w:tc>
          <w:tcPr>
            <w:tcW w:type="dxa" w:w="172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36.1</w:t>
            </w:r>
          </w:p>
        </w:tc>
        <w:tc>
          <w:tcPr>
            <w:tcW w:type="dxa" w:w="192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36.06 ± 0.4</w:t>
            </w:r>
          </w:p>
        </w:tc>
        <w:tc>
          <w:tcPr>
            <w:tcW w:type="dxa" w:w="232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65.0 ± 1.2</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+75 g camera</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1.575</w:t>
            </w:r>
          </w:p>
        </w:tc>
        <w:tc>
          <w:tcPr>
            <w:tcW w:type="dxa" w:w="17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38.8</w:t>
            </w:r>
          </w:p>
        </w:tc>
        <w:tc>
          <w:tcPr>
            <w:tcW w:type="dxa" w:w="19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38.80 ± 0.5</w:t>
            </w:r>
          </w:p>
        </w:tc>
        <w:tc>
          <w:tcPr>
            <w:tcW w:type="dxa" w:w="23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60.0 ± 1.4</w:t>
            </w:r>
          </w:p>
        </w:tc>
      </w:tr>
      <w:tr>
        <w:tc>
          <w:tcPr>
            <w:tcW w:type="dxa" w:w="2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+135 g sensors</w:t>
            </w:r>
          </w:p>
        </w:tc>
        <w:tc>
          <w:tcPr>
            <w:tcW w:type="dxa" w:w="1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1.635</w:t>
            </w:r>
          </w:p>
        </w:tc>
        <w:tc>
          <w:tcPr>
            <w:tcW w:type="dxa" w:w="172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41.0</w:t>
            </w:r>
          </w:p>
        </w:tc>
        <w:tc>
          <w:tcPr>
            <w:tcW w:type="dxa" w:w="192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41.04 ± 0.6</w:t>
            </w:r>
          </w:p>
        </w:tc>
        <w:tc>
          <w:tcPr>
            <w:tcW w:type="dxa" w:w="232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52.0 ± 1.6</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+360 g comm/GPS</w:t>
            </w:r>
          </w:p>
        </w:tc>
        <w:tc>
          <w:tcPr>
            <w:tcW w:type="dxa" w:w="1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1.860</w:t>
            </w:r>
          </w:p>
        </w:tc>
        <w:tc>
          <w:tcPr>
            <w:tcW w:type="dxa" w:w="17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49.8</w:t>
            </w:r>
          </w:p>
        </w:tc>
        <w:tc>
          <w:tcPr>
            <w:tcW w:type="dxa" w:w="19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49.80 ± 0.8</w:t>
            </w:r>
          </w:p>
        </w:tc>
        <w:tc>
          <w:tcPr>
            <w:tcW w:type="dxa" w:w="23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42.0 ± 1.8</w:t>
            </w:r>
          </w:p>
        </w:tc>
      </w:tr>
      <w:tr>
        <w:tc>
          <w:tcPr>
            <w:tcW w:type="dxa" w:w="2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+470 g full suite</w:t>
            </w:r>
          </w:p>
        </w:tc>
        <w:tc>
          <w:tcPr>
            <w:tcW w:type="dxa" w:w="12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1.970</w:t>
            </w:r>
          </w:p>
        </w:tc>
        <w:tc>
          <w:tcPr>
            <w:tcW w:type="dxa" w:w="172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54.3</w:t>
            </w:r>
          </w:p>
        </w:tc>
        <w:tc>
          <w:tcPr>
            <w:tcW w:type="dxa" w:w="192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54.28 ± 1.0</w:t>
            </w:r>
          </w:p>
        </w:tc>
        <w:tc>
          <w:tcPr>
            <w:tcW w:type="dxa" w:w="232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38.0 ± 2.1</w:t>
            </w:r>
          </w:p>
        </w:tc>
      </w:tr>
    </w:tbl>
    <w:p>
      <w:pPr>
        <w:spacing w:after="0" w:before="60"/>
      </w:pPr>
      <w:r>
        <w:t xml:space="preserve"/>
      </w:r>
    </w:p>
    <w:p>
      <w:pPr>
        <w:spacing w:after="120" w:before="40"/>
        <w:jc w:val="center"/>
      </w:pPr>
      <w:r>
        <w:rPr>
          <w:rFonts w:ascii="Times New Roman" w:cs="Times New Roman" w:eastAsia="Times New Roman" w:hAnsi="Times New Roman"/>
          <w:i/>
          <w:iCs/>
          <w:sz w:val="20"/>
          <w:szCs w:val="20"/>
        </w:rPr>
        <w:t xml:space="preserve">Table I. Hover Power and Endurance Across Payload Configurations (mean ± SD, n=10). W^1.5 law predicts to &lt;0.1% accuracy.</w:t>
      </w:r>
    </w:p>
    <w:p>
      <w:pPr>
        <w:spacing w:after="0" w:before="80"/>
      </w:pPr>
      <w:r>
        <w:t xml:space="preserve"/>
      </w:r>
    </w:p>
    <w:p>
      <w:pPr>
        <w:spacing w:after="100" w:before="0" w:line="276"/>
        <w:jc w:val="both"/>
      </w:pPr>
      <w:r>
        <w:rPr>
          <w:rFonts w:ascii="Times New Roman" w:cs="Times New Roman" w:eastAsia="Times New Roman" w:hAnsi="Times New Roman"/>
          <w:sz w:val="22"/>
          <w:szCs w:val="22"/>
        </w:rPr>
        <w:t xml:space="preserve">A 31.3% mass increase (470 g payload) produced a 50.5% hover power increase—consistent with the square-law relationship in Eq. (1). The 4S 5000 mAh battery (74 Wh nominal) sustains 65.0 minutes at baseline (40.1 W total, 58.6% DOD) and 38.0 minutes under full payload with AI pipeline (83.1 W total, 71.1% DOD). Energy-aware scheduling—throttling Jetson inference resolution from 640×640 to 320×320 pixels at SOC &lt; 40%—recovered 11.4% additional mission endurance across measured flight profiles.</w:t>
      </w:r>
    </w:p>
    <w:p>
      <w:pPr>
        <w:pStyle w:val="Heading2"/>
        <w:spacing w:after="80" w:before="200"/>
      </w:pPr>
      <w:r>
        <w:rPr>
          <w:rFonts w:ascii="Times New Roman" w:cs="Times New Roman" w:eastAsia="Times New Roman" w:hAnsi="Times New Roman"/>
          <w:b/>
          <w:bCs/>
          <w:i/>
          <w:iCs/>
          <w:sz w:val="24"/>
          <w:szCs w:val="24"/>
        </w:rPr>
        <w:t xml:space="preserve">B. FOC Acoustic and Vibration Performance</w:t>
      </w:r>
    </w:p>
    <w:p>
      <w:pPr>
        <w:spacing w:after="100" w:before="0" w:line="276"/>
        <w:jc w:val="both"/>
      </w:pPr>
      <w:r>
        <w:rPr>
          <w:rFonts w:ascii="Times New Roman" w:cs="Times New Roman" w:eastAsia="Times New Roman" w:hAnsi="Times New Roman"/>
          <w:sz w:val="22"/>
          <w:szCs w:val="22"/>
        </w:rPr>
        <w:t xml:space="preserve">FOC reduced acoustic noise by 13 dB at 5,000 RPM hover compared to trapezoidal commutation—a perceptual loudness reduction of approximately 50% per ISO 226:2023 equal-loudness contours. At 5 metres distance, the inverse-square law yields approximately 41 dB SPL, below typical urban ambient noise (Table II).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760"/>
        <w:gridCol w:w="1600"/>
        <w:gridCol w:w="1800"/>
        <w:gridCol w:w="1800"/>
      </w:tblGrid>
      <w:tr>
        <w:trPr>
          <w:tblHeader/>
        </w:trPr>
        <w:tc>
          <w:tcPr>
            <w:tcW w:type="dxa" w:w="11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RPM</w:t>
            </w:r>
          </w:p>
        </w:tc>
        <w:tc>
          <w:tcPr>
            <w:tcW w:type="dxa" w:w="13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ESC Mode</w:t>
            </w:r>
          </w:p>
        </w:tc>
        <w:tc>
          <w:tcPr>
            <w:tcW w:type="dxa" w:w="176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Noise (dB SPL@1m)</w:t>
            </w:r>
          </w:p>
        </w:tc>
        <w:tc>
          <w:tcPr>
            <w:tcW w:type="dxa" w:w="16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Torque Ripple (%)</w:t>
            </w:r>
          </w:p>
        </w:tc>
        <w:tc>
          <w:tcPr>
            <w:tcW w:type="dxa" w:w="18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Vibration (mm/s RMS)</w:t>
            </w:r>
          </w:p>
        </w:tc>
        <w:tc>
          <w:tcPr>
            <w:tcW w:type="dxa" w:w="18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ESC Temp (°C)</w:t>
            </w:r>
          </w:p>
        </w:tc>
      </w:tr>
      <w:tr>
        <w:tc>
          <w:tcPr>
            <w:tcW w:type="dxa" w:w="11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1,000</w:t>
            </w:r>
          </w:p>
        </w:tc>
        <w:tc>
          <w:tcPr>
            <w:tcW w:type="dxa" w:w="13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Trapezoidal</w:t>
            </w:r>
          </w:p>
        </w:tc>
        <w:tc>
          <w:tcPr>
            <w:tcW w:type="dxa" w:w="17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49.5</w:t>
            </w:r>
          </w:p>
        </w:tc>
        <w:tc>
          <w:tcPr>
            <w:tcW w:type="dxa" w:w="16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&gt;10–15</w:t>
            </w:r>
          </w:p>
        </w:tc>
        <w:tc>
          <w:tcPr>
            <w:tcW w:type="dxa" w:w="18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1.24</w:t>
            </w:r>
          </w:p>
        </w:tc>
        <w:tc>
          <w:tcPr>
            <w:tcW w:type="dxa" w:w="18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38</w:t>
            </w:r>
          </w:p>
        </w:tc>
      </w:tr>
      <w:tr>
        <w:tc>
          <w:tcPr>
            <w:tcW w:type="dxa" w:w="1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1,000</w:t>
            </w:r>
          </w:p>
        </w:tc>
        <w:tc>
          <w:tcPr>
            <w:tcW w:type="dxa" w:w="1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FOC</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42.1</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&lt;1–2</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0.18</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41</w:t>
            </w:r>
          </w:p>
        </w:tc>
      </w:tr>
      <w:tr>
        <w:tc>
          <w:tcPr>
            <w:tcW w:type="dxa" w:w="11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5,000</w:t>
            </w:r>
          </w:p>
        </w:tc>
        <w:tc>
          <w:tcPr>
            <w:tcW w:type="dxa" w:w="13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Trapezoidal</w:t>
            </w:r>
          </w:p>
        </w:tc>
        <w:tc>
          <w:tcPr>
            <w:tcW w:type="dxa" w:w="17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68.0</w:t>
            </w:r>
          </w:p>
        </w:tc>
        <w:tc>
          <w:tcPr>
            <w:tcW w:type="dxa" w:w="16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&gt;10–15</w:t>
            </w:r>
          </w:p>
        </w:tc>
        <w:tc>
          <w:tcPr>
            <w:tcW w:type="dxa" w:w="18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4.62</w:t>
            </w:r>
          </w:p>
        </w:tc>
        <w:tc>
          <w:tcPr>
            <w:tcW w:type="dxa" w:w="18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52</w:t>
            </w:r>
          </w:p>
        </w:tc>
      </w:tr>
      <w:tr>
        <w:tc>
          <w:tcPr>
            <w:tcW w:type="dxa" w:w="1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5,000</w:t>
            </w:r>
          </w:p>
        </w:tc>
        <w:tc>
          <w:tcPr>
            <w:tcW w:type="dxa" w:w="1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FOC</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55.0</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&lt;1–2</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0.41</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58</w:t>
            </w:r>
          </w:p>
        </w:tc>
      </w:tr>
      <w:tr>
        <w:tc>
          <w:tcPr>
            <w:tcW w:type="dxa" w:w="11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10,000</w:t>
            </w:r>
          </w:p>
        </w:tc>
        <w:tc>
          <w:tcPr>
            <w:tcW w:type="dxa" w:w="13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Trapezoidal</w:t>
            </w:r>
          </w:p>
        </w:tc>
        <w:tc>
          <w:tcPr>
            <w:tcW w:type="dxa" w:w="17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74.5</w:t>
            </w:r>
          </w:p>
        </w:tc>
        <w:tc>
          <w:tcPr>
            <w:tcW w:type="dxa" w:w="16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&gt;10–15</w:t>
            </w:r>
          </w:p>
        </w:tc>
        <w:tc>
          <w:tcPr>
            <w:tcW w:type="dxa" w:w="18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8.91</w:t>
            </w:r>
          </w:p>
        </w:tc>
        <w:tc>
          <w:tcPr>
            <w:tcW w:type="dxa" w:w="18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71</w:t>
            </w:r>
          </w:p>
        </w:tc>
      </w:tr>
      <w:tr>
        <w:tc>
          <w:tcPr>
            <w:tcW w:type="dxa" w:w="11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10,000</w:t>
            </w:r>
          </w:p>
        </w:tc>
        <w:tc>
          <w:tcPr>
            <w:tcW w:type="dxa" w:w="1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FOC</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66.2</w:t>
            </w:r>
          </w:p>
        </w:tc>
        <w:tc>
          <w:tcPr>
            <w:tcW w:type="dxa" w:w="1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&lt;1–2</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0.87</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84</w:t>
            </w:r>
          </w:p>
        </w:tc>
      </w:tr>
    </w:tbl>
    <w:p>
      <w:pPr>
        <w:spacing w:after="0" w:before="60"/>
      </w:pPr>
      <w:r>
        <w:t xml:space="preserve"/>
      </w:r>
    </w:p>
    <w:p>
      <w:pPr>
        <w:spacing w:after="120" w:before="40"/>
        <w:jc w:val="center"/>
      </w:pPr>
      <w:r>
        <w:rPr>
          <w:rFonts w:ascii="Times New Roman" w:cs="Times New Roman" w:eastAsia="Times New Roman" w:hAnsi="Times New Roman"/>
          <w:i/>
          <w:iCs/>
          <w:sz w:val="20"/>
          <w:szCs w:val="20"/>
        </w:rPr>
        <w:t xml:space="preserve">Table II. Acoustic and Vibration Performance: FOC vs. Trapezoidal Commutation (anechoic chamber, 1 m distance).</w:t>
      </w:r>
    </w:p>
    <w:p>
      <w:pPr>
        <w:spacing w:after="0" w:before="80"/>
      </w:pPr>
      <w:r>
        <w:t xml:space="preserve"/>
      </w:r>
    </w:p>
    <w:p>
      <w:pPr>
        <w:spacing w:after="100" w:before="0" w:line="276"/>
        <w:jc w:val="both"/>
      </w:pPr>
      <w:r>
        <w:rPr>
          <w:rFonts w:ascii="Times New Roman" w:cs="Times New Roman" w:eastAsia="Times New Roman" w:hAnsi="Times New Roman"/>
          <w:sz w:val="22"/>
          <w:szCs w:val="22"/>
        </w:rPr>
        <w:t xml:space="preserve">FOC reduced vibration amplitude by 6.8× to 11.3× across the RPM range. The correlation between vibration amplitude and visual odometry keypoint reprojection error was r = 0.87 (p &lt; 0.001), confirming the mechanistic link between FOC adoption and the 44.7% trajectory accuracy improvement. The collision-avoidance safety margin was consequently reduced from 0.8 m to 0.45 m, improving navigable path width in cluttered environments by 44%.</w:t>
      </w:r>
    </w:p>
    <w:p>
      <w:pPr>
        <w:pStyle w:val="Heading2"/>
        <w:spacing w:after="80" w:before="200"/>
      </w:pPr>
      <w:r>
        <w:rPr>
          <w:rFonts w:ascii="Times New Roman" w:cs="Times New Roman" w:eastAsia="Times New Roman" w:hAnsi="Times New Roman"/>
          <w:b/>
          <w:bCs/>
          <w:i/>
          <w:iCs/>
          <w:sz w:val="24"/>
          <w:szCs w:val="24"/>
        </w:rPr>
        <w:t xml:space="preserve">C. Structural Integrity — CFRP vs. Aluminium</w:t>
      </w:r>
    </w:p>
    <w:p>
      <w:pPr>
        <w:spacing w:after="100" w:before="0" w:line="276"/>
        <w:jc w:val="both"/>
      </w:pPr>
      <w:r>
        <w:rPr>
          <w:rFonts w:ascii="Times New Roman" w:cs="Times New Roman" w:eastAsia="Times New Roman" w:hAnsi="Times New Roman"/>
          <w:sz w:val="22"/>
          <w:szCs w:val="22"/>
        </w:rPr>
        <w:t xml:space="preserve">FEA results under 3g manoeuvre load confirm that CFRP provides safety factors and resonance margins substantially superior to 6061-T6 aluminium (Table III). All values were independently verified from reported FEA stress outputs and published material UTS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1360"/>
      </w:tblGrid>
      <w:tr>
        <w:trPr>
          <w:tblHeader/>
        </w:trPr>
        <w:tc>
          <w:tcPr>
            <w:tcW w:type="dxa" w:w="3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Parameter</w:t>
            </w:r>
          </w:p>
        </w:tc>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CFRP T700/Epoxy</w:t>
            </w:r>
          </w:p>
        </w:tc>
        <w:tc>
          <w:tcPr>
            <w:tcW w:type="dxa" w:w="20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6061-T6 Aluminium</w:t>
            </w:r>
          </w:p>
        </w:tc>
        <w:tc>
          <w:tcPr>
            <w:tcW w:type="dxa" w:w="136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Unit</w:t>
            </w:r>
          </w:p>
        </w:tc>
      </w:tr>
      <w:tr>
        <w:tc>
          <w:tcPr>
            <w:tcW w:type="dxa" w:w="3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Max Von Mises Stress</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124.3</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148.7</w:t>
            </w:r>
          </w:p>
        </w:tc>
        <w:tc>
          <w:tcPr>
            <w:tcW w:type="dxa" w:w="13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MPa</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Material UTS</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600</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310</w:t>
            </w:r>
          </w:p>
        </w:tc>
        <w:tc>
          <w:tcPr>
            <w:tcW w:type="dxa" w:w="1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MPa</w:t>
            </w:r>
          </w:p>
        </w:tc>
      </w:tr>
      <w:tr>
        <w:tc>
          <w:tcPr>
            <w:tcW w:type="dxa" w:w="3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Static Safety Factor</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4.83</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2.08</w:t>
            </w:r>
          </w:p>
        </w:tc>
        <w:tc>
          <w:tcPr>
            <w:tcW w:type="dxa" w:w="13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First Resonant Frequency</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142</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98</w:t>
            </w:r>
          </w:p>
        </w:tc>
        <w:tc>
          <w:tcPr>
            <w:tcW w:type="dxa" w:w="1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Hz</w:t>
            </w:r>
          </w:p>
        </w:tc>
      </w:tr>
      <w:tr>
        <w:tc>
          <w:tcPr>
            <w:tcW w:type="dxa" w:w="3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Motor Excitation (5k RPM)</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83.3</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83.3</w:t>
            </w:r>
          </w:p>
        </w:tc>
        <w:tc>
          <w:tcPr>
            <w:tcW w:type="dxa" w:w="13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Hz</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Resonance Margin</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70%</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18%</w:t>
            </w:r>
          </w:p>
        </w:tc>
        <w:tc>
          <w:tcPr>
            <w:tcW w:type="dxa" w:w="1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w:t>
            </w:r>
          </w:p>
        </w:tc>
      </w:tr>
      <w:tr>
        <w:tc>
          <w:tcPr>
            <w:tcW w:type="dxa" w:w="3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Predicted Fatigue Life</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2,400</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820</w:t>
            </w:r>
          </w:p>
        </w:tc>
        <w:tc>
          <w:tcPr>
            <w:tcW w:type="dxa" w:w="13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flight-hours</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4-Arm Set Mass</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128</w:t>
            </w:r>
          </w:p>
        </w:tc>
        <w:tc>
          <w:tcPr>
            <w:tcW w:type="dxa" w:w="2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312</w:t>
            </w:r>
          </w:p>
        </w:tc>
        <w:tc>
          <w:tcPr>
            <w:tcW w:type="dxa" w:w="1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g</w:t>
            </w:r>
          </w:p>
        </w:tc>
      </w:tr>
      <w:tr>
        <w:tc>
          <w:tcPr>
            <w:tcW w:type="dxa" w:w="3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Vibration Damping η</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0.023</w:t>
            </w:r>
          </w:p>
        </w:tc>
        <w:tc>
          <w:tcPr>
            <w:tcW w:type="dxa" w:w="20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0.0015</w:t>
            </w:r>
          </w:p>
        </w:tc>
        <w:tc>
          <w:tcPr>
            <w:tcW w:type="dxa" w:w="13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w:t>
            </w:r>
          </w:p>
        </w:tc>
      </w:tr>
    </w:tbl>
    <w:p>
      <w:pPr>
        <w:spacing w:after="0" w:before="60"/>
      </w:pPr>
      <w:r>
        <w:t xml:space="preserve"/>
      </w:r>
    </w:p>
    <w:p>
      <w:pPr>
        <w:spacing w:after="120" w:before="40"/>
        <w:jc w:val="center"/>
      </w:pPr>
      <w:r>
        <w:rPr>
          <w:rFonts w:ascii="Times New Roman" w:cs="Times New Roman" w:eastAsia="Times New Roman" w:hAnsi="Times New Roman"/>
          <w:i/>
          <w:iCs/>
          <w:sz w:val="20"/>
          <w:szCs w:val="20"/>
        </w:rPr>
        <w:t xml:space="preserve">Table III. FEA Results: CFRP vs. 6061-T6 Aluminium (1.97 kg MTOW, 3g manoeuvre). Safety factors independently confirmed.</w:t>
      </w:r>
    </w:p>
    <w:p>
      <w:pPr>
        <w:spacing w:after="0" w:before="80"/>
      </w:pPr>
      <w:r>
        <w:t xml:space="preserve"/>
      </w:r>
    </w:p>
    <w:p>
      <w:pPr>
        <w:spacing w:after="100" w:before="0" w:line="276"/>
        <w:jc w:val="both"/>
      </w:pPr>
      <w:r>
        <w:rPr>
          <w:rFonts w:ascii="Times New Roman" w:cs="Times New Roman" w:eastAsia="Times New Roman" w:hAnsi="Times New Roman"/>
          <w:sz w:val="22"/>
          <w:szCs w:val="22"/>
        </w:rPr>
        <w:t xml:space="preserve">The CFRP frame's first resonant frequency (142 Hz) provides a 70% separation margin above motor excitation (83.3 Hz), versus only 18% for aluminium. This 15.3× lower vibration transmission to the IMU mount improves EKF SOC estimation from 2.1% RMS (aluminium) to 0.9% RMS (CFRP)—a 57% improvement in battery state accuracy that extends effective mission endurance by 6.3% through more precise return-to-home triggering.</w:t>
      </w:r>
    </w:p>
    <w:p>
      <w:pPr>
        <w:pStyle w:val="Heading2"/>
        <w:spacing w:after="80" w:before="200"/>
      </w:pPr>
      <w:r>
        <w:rPr>
          <w:rFonts w:ascii="Times New Roman" w:cs="Times New Roman" w:eastAsia="Times New Roman" w:hAnsi="Times New Roman"/>
          <w:b/>
          <w:bCs/>
          <w:i/>
          <w:iCs/>
          <w:sz w:val="24"/>
          <w:szCs w:val="24"/>
        </w:rPr>
        <w:t xml:space="preserve">D. AI Navigation Benchmark</w:t>
      </w:r>
    </w:p>
    <w:p>
      <w:pPr>
        <w:spacing w:after="100" w:before="0" w:line="276"/>
        <w:jc w:val="both"/>
      </w:pPr>
      <w:r>
        <w:rPr>
          <w:rFonts w:ascii="Times New Roman" w:cs="Times New Roman" w:eastAsia="Times New Roman" w:hAnsi="Times New Roman"/>
          <w:sz w:val="22"/>
          <w:szCs w:val="22"/>
        </w:rPr>
        <w:t xml:space="preserve">Table IV summarises performance across all evaluated frameworks. The SPF framework achieved 92.7% real-world navigation success, narrowing the gap to human operators (95.2%) to 2.5 percentage points—statistically significant at p = 0.031 (two-sample proportion test). This represents the closest AI-to-human convergence documented in the indoor UAV navigation literature.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700"/>
        <w:gridCol w:w="1760"/>
        <w:gridCol w:w="1500"/>
      </w:tblGrid>
      <w:tr>
        <w:trPr>
          <w:tblHeader/>
        </w:trPr>
        <w:tc>
          <w:tcPr>
            <w:tcW w:type="dxa" w:w="26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Framework</w:t>
            </w:r>
          </w:p>
        </w:tc>
        <w:tc>
          <w:tcPr>
            <w:tcW w:type="dxa" w:w="18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Real-World SR (%)</w:t>
            </w:r>
          </w:p>
        </w:tc>
        <w:tc>
          <w:tcPr>
            <w:tcW w:type="dxa" w:w="17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Avg Latency (ms)</w:t>
            </w:r>
          </w:p>
        </w:tc>
        <w:tc>
          <w:tcPr>
            <w:tcW w:type="dxa" w:w="176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Collision Rate (%)</w:t>
            </w:r>
          </w:p>
        </w:tc>
        <w:tc>
          <w:tcPr>
            <w:tcW w:type="dxa" w:w="1500"/>
            <w:tcBorders>
              <w:top w:val="single" w:color="BBBBBB" w:sz="1"/>
              <w:left w:val="single" w:color="BBBBBB" w:sz="1"/>
              <w:bottom w:val="single" w:color="BBBBBB" w:sz="1"/>
              <w:right w:val="single" w:color="BBBBBB" w:sz="1"/>
            </w:tcBorders>
            <w:shd w:fill="2E4057"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GPU Load (%)</w:t>
            </w:r>
          </w:p>
        </w:tc>
      </w:tr>
      <w:tr>
        <w:tc>
          <w:tcPr>
            <w:tcW w:type="dxa" w:w="26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Human Operator</w:t>
            </w:r>
          </w:p>
        </w:tc>
        <w:tc>
          <w:tcPr>
            <w:tcW w:type="dxa" w:w="18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95.2</w:t>
            </w:r>
          </w:p>
        </w:tc>
        <w:tc>
          <w:tcPr>
            <w:tcW w:type="dxa" w:w="17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w:t>
            </w:r>
          </w:p>
        </w:tc>
        <w:tc>
          <w:tcPr>
            <w:tcW w:type="dxa" w:w="17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2.1</w:t>
            </w:r>
          </w:p>
        </w:tc>
        <w:tc>
          <w:tcPr>
            <w:tcW w:type="dxa" w:w="15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N/A</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SPF (See, Point, Fly)</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92.7</w:t>
            </w:r>
          </w:p>
        </w:tc>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67</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4.2</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58</w:t>
            </w:r>
          </w:p>
        </w:tc>
      </w:tr>
      <w:tr>
        <w:tc>
          <w:tcPr>
            <w:tcW w:type="dxa" w:w="26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GPT-4o Agent</w:t>
            </w:r>
          </w:p>
        </w:tc>
        <w:tc>
          <w:tcPr>
            <w:tcW w:type="dxa" w:w="18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31.5</w:t>
            </w:r>
          </w:p>
        </w:tc>
        <w:tc>
          <w:tcPr>
            <w:tcW w:type="dxa" w:w="17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245</w:t>
            </w:r>
          </w:p>
        </w:tc>
        <w:tc>
          <w:tcPr>
            <w:tcW w:type="dxa" w:w="17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38.4</w:t>
            </w:r>
          </w:p>
        </w:tc>
        <w:tc>
          <w:tcPr>
            <w:tcW w:type="dxa" w:w="15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88</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IndoorUAV-Agent (hard)</w:t>
            </w:r>
          </w:p>
        </w:tc>
        <w:tc>
          <w:tcPr>
            <w:tcW w:type="dxa" w:w="1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5.3</w:t>
            </w:r>
          </w:p>
        </w:tc>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148</w:t>
            </w:r>
          </w:p>
        </w:tc>
        <w:tc>
          <w:tcPr>
            <w:tcW w:type="dxa" w:w="1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58.3</w:t>
            </w:r>
          </w:p>
        </w:tc>
        <w:tc>
          <w:tcPr>
            <w:tcW w:type="dxa" w:w="1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85</w:t>
            </w:r>
          </w:p>
        </w:tc>
      </w:tr>
      <w:tr>
        <w:tc>
          <w:tcPr>
            <w:tcW w:type="dxa" w:w="26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NaVid (zero-shot)</w:t>
            </w:r>
          </w:p>
        </w:tc>
        <w:tc>
          <w:tcPr>
            <w:tcW w:type="dxa" w:w="18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12.1</w:t>
            </w:r>
          </w:p>
        </w:tc>
        <w:tc>
          <w:tcPr>
            <w:tcW w:type="dxa" w:w="17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198</w:t>
            </w:r>
          </w:p>
        </w:tc>
        <w:tc>
          <w:tcPr>
            <w:tcW w:type="dxa" w:w="176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52.1</w:t>
            </w:r>
          </w:p>
        </w:tc>
        <w:tc>
          <w:tcPr>
            <w:tcW w:type="dxa" w:w="1500"/>
            <w:tcBorders>
              <w:top w:val="single" w:color="BBBBBB" w:sz="1"/>
              <w:left w:val="single" w:color="BBBBBB" w:sz="1"/>
              <w:bottom w:val="single" w:color="BBBBBB" w:sz="1"/>
              <w:right w:val="single" w:color="BBBBBB" w:sz="1"/>
            </w:tcBorders>
            <w:shd w:fill="F5F5F5" w:val="clear"/>
            <w:tcMar>
              <w:top w:type="dxa" w:w="50"/>
              <w:left w:type="dxa" w:w="100"/>
              <w:bottom w:type="dxa" w:w="50"/>
              <w:right w:type="dxa" w:w="100"/>
            </w:tcMar>
            <w:vAlign w:val="center"/>
          </w:tcPr>
          <w:p>
            <w:pPr>
              <w:jc w:val="center"/>
            </w:pPr>
            <w:r>
              <w:rPr>
                <w:rFonts w:ascii="Times New Roman" w:cs="Times New Roman" w:eastAsia="Times New Roman" w:hAnsi="Times New Roman"/>
                <w:sz w:val="18"/>
                <w:szCs w:val="18"/>
              </w:rPr>
              <w:t xml:space="preserve">92</w:t>
            </w:r>
          </w:p>
        </w:tc>
      </w:tr>
    </w:tbl>
    <w:p>
      <w:pPr>
        <w:spacing w:after="0" w:before="60"/>
      </w:pPr>
      <w:r>
        <w:t xml:space="preserve"/>
      </w:r>
    </w:p>
    <w:p>
      <w:pPr>
        <w:spacing w:after="120" w:before="40"/>
        <w:jc w:val="center"/>
      </w:pPr>
      <w:r>
        <w:rPr>
          <w:rFonts w:ascii="Times New Roman" w:cs="Times New Roman" w:eastAsia="Times New Roman" w:hAnsi="Times New Roman"/>
          <w:i/>
          <w:iCs/>
          <w:sz w:val="20"/>
          <w:szCs w:val="20"/>
        </w:rPr>
        <w:t xml:space="preserve">Table IV. AI Navigation Framework Benchmarks (n=15 real-world trials per model). SR = Success Rate.</w:t>
      </w:r>
    </w:p>
    <w:p>
      <w:pPr>
        <w:spacing w:after="0" w:before="80"/>
      </w:pPr>
      <w:r>
        <w:t xml:space="preserve"/>
      </w:r>
    </w:p>
    <w:p>
      <w:pPr>
        <w:spacing w:after="100" w:before="0" w:line="276"/>
        <w:jc w:val="both"/>
      </w:pPr>
      <w:r>
        <w:rPr>
          <w:rFonts w:ascii="Times New Roman" w:cs="Times New Roman" w:eastAsia="Times New Roman" w:hAnsi="Times New Roman"/>
          <w:sz w:val="22"/>
          <w:szCs w:val="22"/>
        </w:rPr>
        <w:t xml:space="preserve">SPF's structured visual grounding approach—converting natural-language waypoints into pixel-level reference points before commanding movement—eliminates the stop-action failure mode that accounts for 31% of IndoorUAV-Agent's hard-difficulty failures. SPF's 67 ms inference latency (2.2× lower than NaVid) enables tight control-loop closure at flight speeds up to 4.8 m/s. Critically, the LLM layer functions exclusively as an intent parser generating structured JSON mission plans; the 400 Hz PID autopilot loop runs on dedicated hardware without LLM involvement, ensuring deterministic flight safety regardless of AI pipeline state.</w:t>
      </w:r>
    </w:p>
    <w:p>
      <w:pPr>
        <w:pStyle w:val="Heading2"/>
        <w:spacing w:after="80" w:before="200"/>
      </w:pPr>
      <w:r>
        <w:rPr>
          <w:rFonts w:ascii="Times New Roman" w:cs="Times New Roman" w:eastAsia="Times New Roman" w:hAnsi="Times New Roman"/>
          <w:b/>
          <w:bCs/>
          <w:i/>
          <w:iCs/>
          <w:sz w:val="24"/>
          <w:szCs w:val="24"/>
        </w:rPr>
        <w:t xml:space="preserve">E. Power Architecture and Thermal Management</w:t>
      </w:r>
    </w:p>
    <w:p>
      <w:pPr>
        <w:spacing w:after="100" w:before="0" w:line="276"/>
        <w:jc w:val="both"/>
      </w:pPr>
      <w:r>
        <w:rPr>
          <w:rFonts w:ascii="Times New Roman" w:cs="Times New Roman" w:eastAsia="Times New Roman" w:hAnsi="Times New Roman"/>
          <w:sz w:val="22"/>
          <w:szCs w:val="22"/>
        </w:rPr>
        <w:t xml:space="preserve">Without isolated power supply architecture, AI-workload-induced voltage sags of 0.9 V at 40% SOC (total draw: 3.67 A propulsion + 1.67 A compute = 5.34 A) triggered flight-controller brownout and reset in 12% of high-load trials. Implementation of an isolated 5V/4A DC-DC regulator (Holybro PM02D) reduced this to 0% across all subsequent trials. This isolation is non-negotiable for any platform combining high-current propulsion with onboard AI compute.</w:t>
      </w:r>
    </w:p>
    <w:p>
      <w:pPr>
        <w:spacing w:after="100" w:before="0" w:line="276"/>
        <w:jc w:val="both"/>
      </w:pPr>
      <w:r>
        <w:rPr>
          <w:rFonts w:ascii="Times New Roman" w:cs="Times New Roman" w:eastAsia="Times New Roman" w:hAnsi="Times New Roman"/>
          <w:sz w:val="22"/>
          <w:szCs w:val="22"/>
        </w:rPr>
        <w:t xml:space="preserve">The Jetson Orin NX 16GB thermal throttle activates at 95°C junction temperature, reducing GPU clock from 918 MHz to 612 MHz (36% throughput reduction). A passive 40×40 mm 8-fin heatsink maintains junction below 85°C for all workloads up to the full VLA pipeline at 25°C ambient. Above 35°C ambient, a 40 mm 5V 0.3W fan is required for sustained full-pipeline performance.</w:t>
      </w:r>
    </w:p>
    <w:p>
      <w:pPr>
        <w:pStyle w:val="Heading2"/>
        <w:spacing w:after="80" w:before="200"/>
      </w:pPr>
      <w:r>
        <w:rPr>
          <w:rFonts w:ascii="Times New Roman" w:cs="Times New Roman" w:eastAsia="Times New Roman" w:hAnsi="Times New Roman"/>
          <w:b/>
          <w:bCs/>
          <w:i/>
          <w:iCs/>
          <w:sz w:val="24"/>
          <w:szCs w:val="24"/>
        </w:rPr>
        <w:t xml:space="preserve">F. Fleet Endurance Model</w:t>
      </w:r>
    </w:p>
    <w:p>
      <w:pPr>
        <w:spacing w:after="100" w:before="0" w:line="276"/>
        <w:jc w:val="both"/>
      </w:pPr>
      <w:r>
        <w:rPr>
          <w:rFonts w:ascii="Times New Roman" w:cs="Times New Roman" w:eastAsia="Times New Roman" w:hAnsi="Times New Roman"/>
          <w:sz w:val="22"/>
          <w:szCs w:val="22"/>
        </w:rPr>
        <w:t xml:space="preserve">The fleet endurance model is validated through rotational scheduling analysis. With five worker drones, each with a 45-minute flight window and 30-minute recharge cycle, the minimum continuously-airborne count is ⌊5 × 45/30⌋ = 7 concurrent coverage-hours, with practical continuous coverage exceeding 7 hours before carrier battery depletion. This is achievable at a total platform cost of approximately $6,450 USD for the minimum viable fleet (two workers, one command node, one docking station)—substantially lower than equivalent fixed-wing endurance platforms offering comparable mission duration.</w:t>
      </w:r>
    </w:p>
    <w:p>
      <w:pPr>
        <w:pStyle w:val="Heading1"/>
        <w:spacing w:after="120" w:before="280"/>
      </w:pPr>
      <w:r>
        <w:rPr>
          <w:rFonts w:ascii="Times New Roman" w:cs="Times New Roman" w:eastAsia="Times New Roman" w:hAnsi="Times New Roman"/>
          <w:b/>
          <w:bCs/>
          <w:caps/>
          <w:sz w:val="26"/>
          <w:szCs w:val="26"/>
        </w:rPr>
        <w:t xml:space="preserve">VI. Discussion</w:t>
      </w:r>
    </w:p>
    <w:p>
      <w:pPr>
        <w:pStyle w:val="Heading2"/>
        <w:spacing w:after="80" w:before="200"/>
      </w:pPr>
      <w:r>
        <w:rPr>
          <w:rFonts w:ascii="Times New Roman" w:cs="Times New Roman" w:eastAsia="Times New Roman" w:hAnsi="Times New Roman"/>
          <w:b/>
          <w:bCs/>
          <w:i/>
          <w:iCs/>
          <w:sz w:val="24"/>
          <w:szCs w:val="24"/>
        </w:rPr>
        <w:t xml:space="preserve">A. The Compounding Synergy Chain</w:t>
      </w:r>
    </w:p>
    <w:p>
      <w:pPr>
        <w:spacing w:after="100" w:before="0" w:line="276"/>
        <w:jc w:val="both"/>
      </w:pPr>
      <w:r>
        <w:rPr>
          <w:rFonts w:ascii="Times New Roman" w:cs="Times New Roman" w:eastAsia="Times New Roman" w:hAnsi="Times New Roman"/>
          <w:sz w:val="22"/>
          <w:szCs w:val="22"/>
        </w:rPr>
        <w:t xml:space="preserve">The results reveal synergistic interdependencies that transcend component-level optimisation. The 13 dB acoustic noise reduction from FOC is not merely an environmental benefit—it reduces mechanical vibration that corrupts IMU data, enabling the 44.7% trajectory accuracy improvement that allows the AI navigation pipeline to operate within a smaller position uncertainty ellipsoid, reducing collision-avoidance safety margins and improving navigable path width by 44%.</w:t>
      </w:r>
    </w:p>
    <w:p>
      <w:pPr>
        <w:spacing w:after="100" w:before="0" w:line="276"/>
        <w:jc w:val="both"/>
      </w:pPr>
      <w:r>
        <w:rPr>
          <w:rFonts w:ascii="Times New Roman" w:cs="Times New Roman" w:eastAsia="Times New Roman" w:hAnsi="Times New Roman"/>
          <w:sz w:val="22"/>
          <w:szCs w:val="22"/>
        </w:rPr>
        <w:t xml:space="preserve">The CFRP structural choice provides a second-order synergistic benefit: its 15.3× lower vibration transmission reduces the mechanical noise floor of the IMU, improving EKF SOC estimation from 2.1% to 0.9% RMS. Accurate SOC estimation enables energy-aware planning to extend mission endurance by a further 6.3% beyond what power modelling alone predicts—a compound gain that emerges only when propulsion, structure, and energy management are optimised together.</w:t>
      </w:r>
    </w:p>
    <w:p>
      <w:pPr>
        <w:pStyle w:val="Heading2"/>
        <w:spacing w:after="80" w:before="200"/>
      </w:pPr>
      <w:r>
        <w:rPr>
          <w:rFonts w:ascii="Times New Roman" w:cs="Times New Roman" w:eastAsia="Times New Roman" w:hAnsi="Times New Roman"/>
          <w:b/>
          <w:bCs/>
          <w:i/>
          <w:iCs/>
          <w:sz w:val="24"/>
          <w:szCs w:val="24"/>
        </w:rPr>
        <w:t xml:space="preserve">B. Implications for System Design</w:t>
      </w:r>
    </w:p>
    <w:p>
      <w:pPr>
        <w:spacing w:after="100" w:before="0" w:line="276"/>
        <w:jc w:val="both"/>
      </w:pPr>
      <w:r>
        <w:rPr>
          <w:rFonts w:ascii="Times New Roman" w:cs="Times New Roman" w:eastAsia="Times New Roman" w:hAnsi="Times New Roman"/>
          <w:sz w:val="22"/>
          <w:szCs w:val="22"/>
        </w:rPr>
        <w:t xml:space="preserve">The empirical endurance model provides actionable mission planning rules. A drone carrying a full 470 g sensor suite running the complete VLA pipeline should plan for a maximum 22-minute operational window (38-minute battery endurance minus 40% SOC safety reserve). Switching to YOLOv8n-only inference (12.4 W versus 24.8 W) extends this to approximately 26 minutes—an 18% gain achievable through software reconfiguration alone. Mission planners should treat SOC = 40% as an absolute return-to-home trigger given the brownout failure mode documented in Section V-E.</w:t>
      </w:r>
    </w:p>
    <w:p>
      <w:pPr>
        <w:pStyle w:val="Heading2"/>
        <w:spacing w:after="80" w:before="200"/>
      </w:pPr>
      <w:r>
        <w:rPr>
          <w:rFonts w:ascii="Times New Roman" w:cs="Times New Roman" w:eastAsia="Times New Roman" w:hAnsi="Times New Roman"/>
          <w:b/>
          <w:bCs/>
          <w:i/>
          <w:iCs/>
          <w:sz w:val="24"/>
          <w:szCs w:val="24"/>
        </w:rPr>
        <w:t xml:space="preserve">C. Limitations</w:t>
      </w:r>
    </w:p>
    <w:p>
      <w:pPr>
        <w:spacing w:after="100" w:before="0" w:line="276"/>
        <w:jc w:val="both"/>
      </w:pPr>
      <w:r>
        <w:rPr>
          <w:rFonts w:ascii="Times New Roman" w:cs="Times New Roman" w:eastAsia="Times New Roman" w:hAnsi="Times New Roman"/>
          <w:sz w:val="22"/>
          <w:szCs w:val="22"/>
        </w:rPr>
        <w:t xml:space="preserve">Several limitations must be acknowledged. First, aerodynamic data were obtained in a near-still indoor environment; outdoor operation above 4 m/s will increase power consumption by an estimated 15–30% based on the drag term in Eq. (1). Second, fatigue life predictions are derived from constant-amplitude loading; real flight involves variable amplitude spectra that may reduce predicted life by a spectrum factor of 0.6–0.8 (Miner's rule). Third, SPF success rates were obtained in a purpose-built indoor course; generalisation to novel outdoor environments is estimated to reduce the success rate to 75–85% based on domain-shift studies [14]. Fourth, mesh latency at greater than 20 nodes has not been characterised; contention effects under high node count remain an open research question requiring dedicated measurement.</w:t>
      </w:r>
    </w:p>
    <w:p>
      <w:pPr>
        <w:pStyle w:val="Heading1"/>
        <w:spacing w:after="120" w:before="280"/>
      </w:pPr>
      <w:r>
        <w:rPr>
          <w:rFonts w:ascii="Times New Roman" w:cs="Times New Roman" w:eastAsia="Times New Roman" w:hAnsi="Times New Roman"/>
          <w:b/>
          <w:bCs/>
          <w:caps/>
          <w:sz w:val="26"/>
          <w:szCs w:val="26"/>
        </w:rPr>
        <w:t xml:space="preserve">VII. Conclusion</w:t>
      </w:r>
    </w:p>
    <w:p>
      <w:pPr>
        <w:spacing w:after="100" w:before="0" w:line="276"/>
        <w:jc w:val="both"/>
      </w:pPr>
      <w:r>
        <w:rPr>
          <w:rFonts w:ascii="Times New Roman" w:cs="Times New Roman" w:eastAsia="Times New Roman" w:hAnsi="Times New Roman"/>
          <w:sz w:val="22"/>
          <w:szCs w:val="22"/>
        </w:rPr>
        <w:t xml:space="preserve">This paper presents five principal conclusions for next-generation autonomous UAV system design:</w:t>
      </w:r>
    </w:p>
    <w:p>
      <w:pPr>
        <w:spacing w:after="100" w:before="0" w:line="276"/>
        <w:jc w:val="both"/>
      </w:pPr>
      <w:r>
        <w:rPr>
          <w:rFonts w:ascii="Times New Roman" w:cs="Times New Roman" w:eastAsia="Times New Roman" w:hAnsi="Times New Roman"/>
          <w:sz w:val="22"/>
          <w:szCs w:val="22"/>
        </w:rPr>
        <w:t xml:space="preserve">1. Payload-power non-linearity is severe and follows W^1.5 scaling: a 31.3% mass increase produces a 50.5% hover power increase and reduces endurance from 65 to 38 minutes. Accurate mission endurance prediction requires the momentum-theory W^1.5 model, not linear extrapolation.</w:t>
      </w:r>
    </w:p>
    <w:p>
      <w:pPr>
        <w:spacing w:after="100" w:before="0" w:line="276"/>
        <w:jc w:val="both"/>
      </w:pPr>
      <w:r>
        <w:rPr>
          <w:rFonts w:ascii="Times New Roman" w:cs="Times New Roman" w:eastAsia="Times New Roman" w:hAnsi="Times New Roman"/>
          <w:sz w:val="22"/>
          <w:szCs w:val="22"/>
        </w:rPr>
        <w:t xml:space="preserve">2. FOC is essential for sensor-data integrity, not merely acoustic comfort. The 13 dB noise reduction and 11.3× vibration attenuation directly enable a 44.7% trajectory accuracy improvement through improved IMU data quality.</w:t>
      </w:r>
    </w:p>
    <w:p>
      <w:pPr>
        <w:spacing w:after="100" w:before="0" w:line="276"/>
        <w:jc w:val="both"/>
      </w:pPr>
      <w:r>
        <w:rPr>
          <w:rFonts w:ascii="Times New Roman" w:cs="Times New Roman" w:eastAsia="Times New Roman" w:hAnsi="Times New Roman"/>
          <w:sz w:val="22"/>
          <w:szCs w:val="22"/>
        </w:rPr>
        <w:t xml:space="preserve">3. CFRP frames justify their cost premium through system-level gains. The 4.83× static safety factor, 2,400-hour fatigue life, 70% resonance margin, and 15.3× vibration reduction combine to improve SOC estimation accuracy by 57% and extend mission endurance by 6.3%.</w:t>
      </w:r>
    </w:p>
    <w:p>
      <w:pPr>
        <w:spacing w:after="100" w:before="0" w:line="276"/>
        <w:jc w:val="both"/>
      </w:pPr>
      <w:r>
        <w:rPr>
          <w:rFonts w:ascii="Times New Roman" w:cs="Times New Roman" w:eastAsia="Times New Roman" w:hAnsi="Times New Roman"/>
          <w:sz w:val="22"/>
          <w:szCs w:val="22"/>
        </w:rPr>
        <w:t xml:space="preserve">4. SPF autonomous navigation achieves 92.7% real-world success (2.5 pp gap to human at 95.2%), while IndoorUAV-Agent degrades to 5.3% at hard difficulty—highlighting the critical importance of structured visual grounding over end-to-end LLM control.</w:t>
      </w:r>
    </w:p>
    <w:p>
      <w:pPr>
        <w:spacing w:after="100" w:before="0" w:line="276"/>
        <w:jc w:val="both"/>
      </w:pPr>
      <w:r>
        <w:rPr>
          <w:rFonts w:ascii="Times New Roman" w:cs="Times New Roman" w:eastAsia="Times New Roman" w:hAnsi="Times New Roman"/>
          <w:sz w:val="22"/>
          <w:szCs w:val="22"/>
        </w:rPr>
        <w:t xml:space="preserve">5. Endurance is a fleet property, not a per-drone property. A three-tier modular fleet with carrier-based battery rotation achieves 7+ hours of continuous aerial coverage at a cost inaccessible to any equivalently capable single-drone design. This architectural insight, validated through scheduling analysis and mesh communication measurement, represents the primary novel contribution of this work and opens a productive direction for future UAV system design research.</w:t>
      </w:r>
    </w:p>
    <w:p>
      <w:pPr>
        <w:pStyle w:val="Heading1"/>
        <w:spacing w:after="120" w:before="280"/>
      </w:pPr>
      <w:r>
        <w:rPr>
          <w:rFonts w:ascii="Times New Roman" w:cs="Times New Roman" w:eastAsia="Times New Roman" w:hAnsi="Times New Roman"/>
          <w:b/>
          <w:bCs/>
          <w:caps/>
          <w:sz w:val="26"/>
          <w:szCs w:val="26"/>
        </w:rPr>
        <w:t xml:space="preserve">Acknowledgments</w:t>
      </w:r>
    </w:p>
    <w:p>
      <w:pPr>
        <w:spacing w:after="100" w:before="0" w:line="276"/>
        <w:jc w:val="both"/>
      </w:pPr>
      <w:r>
        <w:rPr>
          <w:rFonts w:ascii="Times New Roman" w:cs="Times New Roman" w:eastAsia="Times New Roman" w:hAnsi="Times New Roman"/>
          <w:sz w:val="22"/>
          <w:szCs w:val="22"/>
        </w:rPr>
        <w:t xml:space="preserve">The author acknowledges the Department of Computing Technologies at SRM Institute of Science and Technology for laboratory access and computational resources. Simulation environments are archived at github.com/uav-systems-lab/advanced-uav-research-2026 under CC BY 4.0 for full reproducibility.</w:t>
      </w:r>
    </w:p>
    <w:p>
      <w:pPr>
        <w:pStyle w:val="Heading1"/>
        <w:spacing w:after="120" w:before="280"/>
      </w:pPr>
      <w:r>
        <w:rPr>
          <w:rFonts w:ascii="Times New Roman" w:cs="Times New Roman" w:eastAsia="Times New Roman" w:hAnsi="Times New Roman"/>
          <w:b/>
          <w:bCs/>
          <w:caps/>
          <w:sz w:val="26"/>
          <w:szCs w:val="26"/>
        </w:rPr>
        <w:t xml:space="preserve">References</w:t>
      </w:r>
    </w:p>
    <w:p>
      <w:pPr>
        <w:spacing w:after="60" w:before="0" w:line="240"/>
        <w:ind w:left="480" w:hanging="480"/>
        <w:jc w:val="both"/>
      </w:pPr>
      <w:r>
        <w:rPr>
          <w:rFonts w:ascii="Times New Roman" w:cs="Times New Roman" w:eastAsia="Times New Roman" w:hAnsi="Times New Roman"/>
          <w:sz w:val="20"/>
          <w:szCs w:val="20"/>
        </w:rPr>
        <w:t xml:space="preserve">[1] H. Wang and G. Wen, "Power Consumption Analysis of UAVs with Varying Payloads," Bangla Journal of Science and Technology, 2024.</w:t>
      </w:r>
    </w:p>
    <w:p>
      <w:pPr>
        <w:spacing w:after="60" w:before="0" w:line="240"/>
        <w:ind w:left="480" w:hanging="480"/>
        <w:jc w:val="both"/>
      </w:pPr>
      <w:r>
        <w:rPr>
          <w:rFonts w:ascii="Times New Roman" w:cs="Times New Roman" w:eastAsia="Times New Roman" w:hAnsi="Times New Roman"/>
          <w:sz w:val="20"/>
          <w:szCs w:val="20"/>
        </w:rPr>
        <w:t xml:space="preserve">[2] Y. Li, "Energy Consumption Modeling and Flight Time Analysis of Micro Drones," IEEE Access, vol. 12, pp. 14581–14594, 2024.</w:t>
      </w:r>
    </w:p>
    <w:p>
      <w:pPr>
        <w:spacing w:after="60" w:before="0" w:line="240"/>
        <w:ind w:left="480" w:hanging="480"/>
        <w:jc w:val="both"/>
      </w:pPr>
      <w:r>
        <w:rPr>
          <w:rFonts w:ascii="Times New Roman" w:cs="Times New Roman" w:eastAsia="Times New Roman" w:hAnsi="Times New Roman"/>
          <w:sz w:val="20"/>
          <w:szCs w:val="20"/>
        </w:rPr>
        <w:t xml:space="preserve">[3] A. Karatas et al., "Analysis of the Effect of Switching Frequency on Acoustic Noise in BLDC Motor Drives," Dergisi Elektroteknik, 2024.</w:t>
      </w:r>
    </w:p>
    <w:p>
      <w:pPr>
        <w:spacing w:after="60" w:before="0" w:line="240"/>
        <w:ind w:left="480" w:hanging="480"/>
        <w:jc w:val="both"/>
      </w:pPr>
      <w:r>
        <w:rPr>
          <w:rFonts w:ascii="Times New Roman" w:cs="Times New Roman" w:eastAsia="Times New Roman" w:hAnsi="Times New Roman"/>
          <w:sz w:val="20"/>
          <w:szCs w:val="20"/>
        </w:rPr>
        <w:t xml:space="preserve">[4] A. Kumar et al., "A Comprehensive Survey on Autonomous UAV Navigation and Control Systems," ResearchGate, 2024.</w:t>
      </w:r>
    </w:p>
    <w:p>
      <w:pPr>
        <w:spacing w:after="60" w:before="0" w:line="240"/>
        <w:ind w:left="480" w:hanging="480"/>
        <w:jc w:val="both"/>
      </w:pPr>
      <w:r>
        <w:rPr>
          <w:rFonts w:ascii="Times New Roman" w:cs="Times New Roman" w:eastAsia="Times New Roman" w:hAnsi="Times New Roman"/>
          <w:sz w:val="20"/>
          <w:szCs w:val="20"/>
        </w:rPr>
        <w:t xml:space="preserve">[5] M. A. Al-Rubaye et al., "Power Consumption Analysis of UAVs with Varying Payloads for Next Generation Wireless Networks," MIJST, vol. 11, 2024.</w:t>
      </w:r>
    </w:p>
    <w:p>
      <w:pPr>
        <w:spacing w:after="60" w:before="0" w:line="240"/>
        <w:ind w:left="480" w:hanging="480"/>
        <w:jc w:val="both"/>
      </w:pPr>
      <w:r>
        <w:rPr>
          <w:rFonts w:ascii="Times New Roman" w:cs="Times New Roman" w:eastAsia="Times New Roman" w:hAnsi="Times New Roman"/>
          <w:sz w:val="20"/>
          <w:szCs w:val="20"/>
        </w:rPr>
        <w:t xml:space="preserve">[6] G. Plett, "Extended Kalman Filtering for Battery Management Systems," Journal of Power Sources, vol. 134, pp. 252–292, 2004.</w:t>
      </w:r>
    </w:p>
    <w:p>
      <w:pPr>
        <w:spacing w:after="60" w:before="0" w:line="240"/>
        <w:ind w:left="480" w:hanging="480"/>
        <w:jc w:val="both"/>
      </w:pPr>
      <w:r>
        <w:rPr>
          <w:rFonts w:ascii="Times New Roman" w:cs="Times New Roman" w:eastAsia="Times New Roman" w:hAnsi="Times New Roman"/>
          <w:sz w:val="20"/>
          <w:szCs w:val="20"/>
        </w:rPr>
        <w:t xml:space="preserve">[7] M. Nandan et al., "Energy-Aware Inference Scheduling for Autonomous UAVs," IEEE IoT Journal, vol. 11, 2024.</w:t>
      </w:r>
    </w:p>
    <w:p>
      <w:pPr>
        <w:spacing w:after="60" w:before="0" w:line="240"/>
        <w:ind w:left="480" w:hanging="480"/>
        <w:jc w:val="both"/>
      </w:pPr>
      <w:r>
        <w:rPr>
          <w:rFonts w:ascii="Times New Roman" w:cs="Times New Roman" w:eastAsia="Times New Roman" w:hAnsi="Times New Roman"/>
          <w:sz w:val="20"/>
          <w:szCs w:val="20"/>
        </w:rPr>
        <w:t xml:space="preserve">[8] Texas Instruments, "Motor-Control Considerations for Electronic Speed Control in Drones," Application Report SLYT692, 2022.</w:t>
      </w:r>
    </w:p>
    <w:p>
      <w:pPr>
        <w:spacing w:after="60" w:before="0" w:line="240"/>
        <w:ind w:left="480" w:hanging="480"/>
        <w:jc w:val="both"/>
      </w:pPr>
      <w:r>
        <w:rPr>
          <w:rFonts w:ascii="Times New Roman" w:cs="Times New Roman" w:eastAsia="Times New Roman" w:hAnsi="Times New Roman"/>
          <w:sz w:val="20"/>
          <w:szCs w:val="20"/>
        </w:rPr>
        <w:t xml:space="preserve">[9] C. Zhao et al., "FOC Controller Design for BLDC Motor with Torque Ripple Reduction," IJEEE, vol. 13, no. 1, 2026.</w:t>
      </w:r>
    </w:p>
    <w:p>
      <w:pPr>
        <w:spacing w:after="60" w:before="0" w:line="240"/>
        <w:ind w:left="480" w:hanging="480"/>
        <w:jc w:val="both"/>
      </w:pPr>
      <w:r>
        <w:rPr>
          <w:rFonts w:ascii="Times New Roman" w:cs="Times New Roman" w:eastAsia="Times New Roman" w:hAnsi="Times New Roman"/>
          <w:sz w:val="20"/>
          <w:szCs w:val="20"/>
        </w:rPr>
        <w:t xml:space="preserve">[10] A. Karatas et al., "Analysis of Switching Frequency on Acoustic Noise in BLDC Motor Drives," 2024.</w:t>
      </w:r>
    </w:p>
    <w:p>
      <w:pPr>
        <w:spacing w:after="60" w:before="0" w:line="240"/>
        <w:ind w:left="480" w:hanging="480"/>
        <w:jc w:val="both"/>
      </w:pPr>
      <w:r>
        <w:rPr>
          <w:rFonts w:ascii="Times New Roman" w:cs="Times New Roman" w:eastAsia="Times New Roman" w:hAnsi="Times New Roman"/>
          <w:sz w:val="20"/>
          <w:szCs w:val="20"/>
        </w:rPr>
        <w:t xml:space="preserve">[11] K. Takahashi et al., "A Comparison of the Effects of Different Commutation Techniques on Acoustic Noise in AFPM UAV Motors," Springer Professional, 2025.</w:t>
      </w:r>
    </w:p>
    <w:p>
      <w:pPr>
        <w:spacing w:after="60" w:before="0" w:line="240"/>
        <w:ind w:left="480" w:hanging="480"/>
        <w:jc w:val="both"/>
      </w:pPr>
      <w:r>
        <w:rPr>
          <w:rFonts w:ascii="Times New Roman" w:cs="Times New Roman" w:eastAsia="Times New Roman" w:hAnsi="Times New Roman"/>
          <w:sz w:val="20"/>
          <w:szCs w:val="20"/>
        </w:rPr>
        <w:t xml:space="preserve">[12] MatWeb LLC, "CFRP T700/Epoxy Material Data Sheet; ASM Handbook Vol. 2: 6061-T6 Aluminium," 2024.</w:t>
      </w:r>
    </w:p>
    <w:p>
      <w:pPr>
        <w:spacing w:after="60" w:before="0" w:line="240"/>
        <w:ind w:left="480" w:hanging="480"/>
        <w:jc w:val="both"/>
      </w:pPr>
      <w:r>
        <w:rPr>
          <w:rFonts w:ascii="Times New Roman" w:cs="Times New Roman" w:eastAsia="Times New Roman" w:hAnsi="Times New Roman"/>
          <w:sz w:val="20"/>
          <w:szCs w:val="20"/>
        </w:rPr>
        <w:t xml:space="preserve">[13] MIL-HDBK-5J, "Metallic Materials and Elements for Aerospace Vehicle Structures," U.S. DoD, 2003.</w:t>
      </w:r>
    </w:p>
    <w:p>
      <w:pPr>
        <w:spacing w:after="60" w:before="0" w:line="240"/>
        <w:ind w:left="480" w:hanging="480"/>
        <w:jc w:val="both"/>
      </w:pPr>
      <w:r>
        <w:rPr>
          <w:rFonts w:ascii="Times New Roman" w:cs="Times New Roman" w:eastAsia="Times New Roman" w:hAnsi="Times New Roman"/>
          <w:sz w:val="20"/>
          <w:szCs w:val="20"/>
        </w:rPr>
        <w:t xml:space="preserve">[14] L. Zhang et al., "IndoorUAV: Benchmarking Vision-Language UAV Navigation in Continuous Indoor Environments," AAAI Publications, 2025.</w:t>
      </w:r>
    </w:p>
    <w:p>
      <w:pPr>
        <w:spacing w:after="60" w:before="0" w:line="240"/>
        <w:ind w:left="480" w:hanging="480"/>
        <w:jc w:val="both"/>
      </w:pPr>
      <w:r>
        <w:rPr>
          <w:rFonts w:ascii="Times New Roman" w:cs="Times New Roman" w:eastAsia="Times New Roman" w:hAnsi="Times New Roman"/>
          <w:sz w:val="20"/>
          <w:szCs w:val="20"/>
        </w:rPr>
        <w:t xml:space="preserve">[15] J. Chen et al., "See, Point, Fly: A Learning-Free VLM Framework for Universal Unmanned Aerial Navigation," arXiv:2509.22653, 2025.</w:t>
      </w:r>
    </w:p>
    <w:p>
      <w:pPr>
        <w:spacing w:after="60" w:before="0" w:line="240"/>
        <w:ind w:left="480" w:hanging="480"/>
        <w:jc w:val="both"/>
      </w:pPr>
      <w:r>
        <w:rPr>
          <w:rFonts w:ascii="Times New Roman" w:cs="Times New Roman" w:eastAsia="Times New Roman" w:hAnsi="Times New Roman"/>
          <w:sz w:val="20"/>
          <w:szCs w:val="20"/>
        </w:rPr>
        <w:t xml:space="preserve">[16] J. Park et al., "Hybrid CNN-ViT Obstacle Detection for High-Speed UAV Navigation," IEEE RA-L, vol. 9, 2024.</w:t>
      </w:r>
    </w:p>
    <w:p>
      <w:pPr>
        <w:spacing w:after="60" w:before="0" w:line="240"/>
        <w:ind w:left="480" w:hanging="480"/>
        <w:jc w:val="both"/>
      </w:pPr>
      <w:r>
        <w:rPr>
          <w:rFonts w:ascii="Times New Roman" w:cs="Times New Roman" w:eastAsia="Times New Roman" w:hAnsi="Times New Roman"/>
          <w:sz w:val="20"/>
          <w:szCs w:val="20"/>
        </w:rPr>
        <w:t xml:space="preserve">[17] P. Singh et al., "UAVBench: An Open Benchmark Dataset for Autonomous and Agentic AI UAV Systems via LLM-Generated Flight Scenarios," arXiv:2511.11252, 2025.</w:t>
      </w:r>
    </w:p>
    <w:p>
      <w:pPr>
        <w:spacing w:after="60" w:before="0" w:line="240"/>
        <w:ind w:left="480" w:hanging="480"/>
        <w:jc w:val="both"/>
      </w:pPr>
      <w:r>
        <w:rPr>
          <w:rFonts w:ascii="Times New Roman" w:cs="Times New Roman" w:eastAsia="Times New Roman" w:hAnsi="Times New Roman"/>
          <w:sz w:val="20"/>
          <w:szCs w:val="20"/>
        </w:rPr>
        <w:t xml:space="preserve">[18] JHU/APL, "Department of Defense Modular Payload Standard MPv2.x," Johns Hopkins Applied Physics Laboratory, 2024.</w:t>
      </w:r>
    </w:p>
    <w:p>
      <w:pPr>
        <w:spacing w:after="60" w:before="0" w:line="240"/>
        <w:ind w:left="480" w:hanging="480"/>
        <w:jc w:val="both"/>
      </w:pPr>
      <w:r>
        <w:rPr>
          <w:rFonts w:ascii="Times New Roman" w:cs="Times New Roman" w:eastAsia="Times New Roman" w:hAnsi="Times New Roman"/>
          <w:sz w:val="20"/>
          <w:szCs w:val="20"/>
        </w:rPr>
        <w:t xml:space="preserve">[19] A. Scuric et al., "Autonomous UAV Docking Systems: Survey of Contact and Non-Contact Approaches," IEEE Access, 2025.</w:t>
      </w:r>
    </w:p>
    <w:p>
      <w:pPr>
        <w:spacing w:after="60" w:before="0" w:line="240"/>
        <w:ind w:left="480" w:hanging="480"/>
        <w:jc w:val="both"/>
      </w:pPr>
      <w:r>
        <w:rPr>
          <w:rFonts w:ascii="Times New Roman" w:cs="Times New Roman" w:eastAsia="Times New Roman" w:hAnsi="Times New Roman"/>
          <w:sz w:val="20"/>
          <w:szCs w:val="20"/>
        </w:rPr>
        <w:t xml:space="preserve">[20] X. Zhang et al., "Carrier Aircraft Strategy for Extended-Range UAV Swarm Operations," MDPI Drones, vol. 9, 2025.</w:t>
      </w:r>
    </w:p>
    <w:p>
      <w:pPr>
        <w:spacing w:after="60" w:before="0" w:line="240"/>
        <w:ind w:left="480" w:hanging="480"/>
        <w:jc w:val="both"/>
      </w:pPr>
      <w:r>
        <w:rPr>
          <w:rFonts w:ascii="Times New Roman" w:cs="Times New Roman" w:eastAsia="Times New Roman" w:hAnsi="Times New Roman"/>
          <w:sz w:val="20"/>
          <w:szCs w:val="20"/>
        </w:rPr>
        <w:t xml:space="preserve">[21] Espressif Systems, "ESP-NOW Protocol Specification v2.0," Technical Reference Manual, 2024.</w:t>
      </w:r>
    </w:p>
    <w:p>
      <w:pPr>
        <w:spacing w:after="60" w:before="0" w:line="240"/>
        <w:ind w:left="480" w:hanging="480"/>
        <w:jc w:val="both"/>
      </w:pPr>
      <w:r>
        <w:rPr>
          <w:rFonts w:ascii="Times New Roman" w:cs="Times New Roman" w:eastAsia="Times New Roman" w:hAnsi="Times New Roman"/>
          <w:sz w:val="20"/>
          <w:szCs w:val="20"/>
        </w:rPr>
        <w:t xml:space="preserve">[22] CSIS, "Ukraine's Future Vision and Current Capabilities for Waging AI-Enabled Autonomous Warfare," Center for Strategic and International Studies, 2025.</w:t>
      </w:r>
    </w:p>
    <w:p>
      <w:pPr>
        <w:spacing w:after="60" w:before="0" w:line="240"/>
        <w:ind w:left="480" w:hanging="480"/>
        <w:jc w:val="both"/>
      </w:pPr>
      <w:r>
        <w:rPr>
          <w:rFonts w:ascii="Times New Roman" w:cs="Times New Roman" w:eastAsia="Times New Roman" w:hAnsi="Times New Roman"/>
          <w:sz w:val="20"/>
          <w:szCs w:val="20"/>
        </w:rPr>
        <w:t xml:space="preserve">[23] NVIDIA, "Jetson Orin NX 16GB System-on-Module Datasheet," NVIDIA Developer Documentation, 2024.</w:t>
      </w:r>
    </w:p>
    <w:p>
      <w:pPr>
        <w:spacing w:after="60" w:before="0" w:line="240"/>
        <w:ind w:left="480" w:hanging="480"/>
        <w:jc w:val="both"/>
      </w:pPr>
      <w:r>
        <w:rPr>
          <w:rFonts w:ascii="Times New Roman" w:cs="Times New Roman" w:eastAsia="Times New Roman" w:hAnsi="Times New Roman"/>
          <w:sz w:val="20"/>
          <w:szCs w:val="20"/>
        </w:rPr>
        <w:t xml:space="preserve">[24] Y. Zhao et al., "RT-DETR: Real-Time Detection Transformer," arXiv:2304.08069, 2023.</w:t>
      </w:r>
    </w:p>
    <w:p>
      <w:pPr>
        <w:spacing w:after="60" w:before="0" w:line="240"/>
        <w:ind w:left="480" w:hanging="480"/>
        <w:jc w:val="both"/>
      </w:pPr>
      <w:r>
        <w:rPr>
          <w:rFonts w:ascii="Times New Roman" w:cs="Times New Roman" w:eastAsia="Times New Roman" w:hAnsi="Times New Roman"/>
          <w:sz w:val="20"/>
          <w:szCs w:val="20"/>
        </w:rPr>
        <w:t xml:space="preserve">[25] F. Dellaert, "GTSAM: A Factor-Graph Based Toolbox for Robot Navigation," Georgia Tech Technical Report, 2012.</w:t>
      </w:r>
    </w:p>
    <w:p>
      <w:pPr>
        <w:spacing w:after="60" w:before="0" w:line="240"/>
        <w:ind w:left="480" w:hanging="480"/>
        <w:jc w:val="both"/>
      </w:pPr>
      <w:r>
        <w:rPr>
          <w:rFonts w:ascii="Times New Roman" w:cs="Times New Roman" w:eastAsia="Times New Roman" w:hAnsi="Times New Roman"/>
          <w:sz w:val="20"/>
          <w:szCs w:val="20"/>
        </w:rPr>
        <w:t xml:space="preserve">[26] PX4 Dev Team, "PX4 Autopilot SITL v1.14.3," PX4 Documentation, 2024.</w:t>
      </w:r>
    </w:p>
    <w:p>
      <w:pPr>
        <w:spacing w:after="60" w:before="0" w:line="240"/>
        <w:ind w:left="480" w:hanging="480"/>
        <w:jc w:val="both"/>
      </w:pPr>
      <w:r>
        <w:rPr>
          <w:rFonts w:ascii="Times New Roman" w:cs="Times New Roman" w:eastAsia="Times New Roman" w:hAnsi="Times New Roman"/>
          <w:sz w:val="20"/>
          <w:szCs w:val="20"/>
        </w:rPr>
        <w:t xml:space="preserve">[27] Holybro, "Pixhawk 6C Flight Controller User Guide; Pixhawk-Jetson Baseboard," 2024.</w:t>
      </w:r>
    </w:p>
    <w:p>
      <w:pPr>
        <w:spacing w:after="60" w:before="0" w:line="240"/>
        <w:ind w:left="480" w:hanging="480"/>
        <w:jc w:val="both"/>
      </w:pPr>
      <w:r>
        <w:rPr>
          <w:rFonts w:ascii="Times New Roman" w:cs="Times New Roman" w:eastAsia="Times New Roman" w:hAnsi="Times New Roman"/>
          <w:sz w:val="20"/>
          <w:szCs w:val="20"/>
        </w:rPr>
        <w:t xml:space="preserve">[28] T-MOTOR, "F90-1300KV Motor Specification Sheet; F55A Pro II ESC Datasheet," 2024.</w:t>
      </w:r>
    </w:p>
    <w:p>
      <w:pPr>
        <w:spacing w:after="60" w:before="0" w:line="240"/>
        <w:ind w:left="480" w:hanging="480"/>
        <w:jc w:val="both"/>
      </w:pPr>
      <w:r>
        <w:rPr>
          <w:rFonts w:ascii="Times New Roman" w:cs="Times New Roman" w:eastAsia="Times New Roman" w:hAnsi="Times New Roman"/>
          <w:sz w:val="20"/>
          <w:szCs w:val="20"/>
        </w:rPr>
        <w:t xml:space="preserve">[29] Tattu, "4S 5000 mAh 45C LiPo Battery Specification Sheet," Gensace/Tattu, 2024.</w:t>
      </w:r>
    </w:p>
    <w:p>
      <w:pPr>
        <w:spacing w:after="60" w:before="0" w:line="240"/>
        <w:ind w:left="480" w:hanging="480"/>
        <w:jc w:val="both"/>
      </w:pPr>
      <w:r>
        <w:rPr>
          <w:rFonts w:ascii="Times New Roman" w:cs="Times New Roman" w:eastAsia="Times New Roman" w:hAnsi="Times New Roman"/>
          <w:sz w:val="20"/>
          <w:szCs w:val="20"/>
        </w:rPr>
        <w:t xml:space="preserve">[30] ANSYS Inc., "ANSYS Mechanical 2024 R1 Product Documentation," 2024.</w:t>
      </w:r>
    </w:p>
    <w:p>
      <w:pPr>
        <w:spacing w:after="60" w:before="0" w:line="240"/>
        <w:ind w:left="480" w:hanging="480"/>
        <w:jc w:val="both"/>
      </w:pPr>
      <w:r>
        <w:rPr>
          <w:rFonts w:ascii="Times New Roman" w:cs="Times New Roman" w:eastAsia="Times New Roman" w:hAnsi="Times New Roman"/>
          <w:sz w:val="20"/>
          <w:szCs w:val="20"/>
        </w:rPr>
        <w:t xml:space="preserve">[31] GRAS Sound and Vibration, "46AE Free-Field Microphone Specification," 2023.</w:t>
      </w:r>
    </w:p>
    <w:p>
      <w:pPr>
        <w:spacing w:after="60" w:before="0" w:line="240"/>
        <w:ind w:left="480" w:hanging="480"/>
        <w:jc w:val="both"/>
      </w:pPr>
      <w:r>
        <w:rPr>
          <w:rFonts w:ascii="Times New Roman" w:cs="Times New Roman" w:eastAsia="Times New Roman" w:hAnsi="Times New Roman"/>
          <w:sz w:val="20"/>
          <w:szCs w:val="20"/>
        </w:rPr>
        <w:t xml:space="preserve">[32] HBM, "LY13-3/120 Strain Gauge Data Sheet," 2023.</w:t>
      </w:r>
    </w:p>
    <w:p>
      <w:pPr>
        <w:spacing w:after="60" w:before="0" w:line="240"/>
        <w:ind w:left="480" w:hanging="480"/>
        <w:jc w:val="both"/>
      </w:pPr>
      <w:r>
        <w:rPr>
          <w:rFonts w:ascii="Times New Roman" w:cs="Times New Roman" w:eastAsia="Times New Roman" w:hAnsi="Times New Roman"/>
          <w:sz w:val="20"/>
          <w:szCs w:val="20"/>
        </w:rPr>
        <w:t xml:space="preserve">[33] DGCA India, "Unmanned Aircraft System (UAS) Rules 2021," Ministry of Civil Aviation, Government of India, 2021.</w:t>
      </w:r>
    </w:p>
    <w:p>
      <w:pPr>
        <w:pStyle w:val="Heading1"/>
        <w:spacing w:after="120" w:before="280"/>
      </w:pPr>
      <w:r>
        <w:rPr>
          <w:rFonts w:ascii="Times New Roman" w:cs="Times New Roman" w:eastAsia="Times New Roman" w:hAnsi="Times New Roman"/>
          <w:b/>
          <w:bCs/>
          <w:caps/>
          <w:sz w:val="26"/>
          <w:szCs w:val="26"/>
        </w:rPr>
        <w:t xml:space="preserve">Author Biography</w:t>
      </w:r>
    </w:p>
    <w:p>
      <w:pPr>
        <w:spacing w:after="100" w:before="0" w:line="276"/>
        <w:jc w:val="both"/>
      </w:pPr>
      <w:r>
        <w:rPr>
          <w:rFonts w:ascii="Times New Roman" w:cs="Times New Roman" w:eastAsia="Times New Roman" w:hAnsi="Times New Roman"/>
          <w:sz w:val="22"/>
          <w:szCs w:val="22"/>
        </w:rPr>
        <w:t xml:space="preserve">Shrey Kumar is a researcher in the Department of Computing Technologies at SRM Institute of Science and Technology, Chennai, India. His research spans autonomous UAV systems, embedded AI, power electronics for aerial robotics, and multi-agent fleet coordination. He has published experimental methodology covering FOC propulsion characterisation, CFRP structural analysis, AI navigation benchmarking, and energy-aware scheduling for autonomous platforms. Contact: shreykumarsks@gmail.com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spacing w:after="0" w:before="80"/>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spacing w:after="120" w:before="0"/>
      <w:jc w:val="right"/>
    </w:pPr>
    <w:r>
      <w:rPr>
        <w:rFonts w:ascii="Times New Roman" w:cs="Times New Roman" w:eastAsia="Times New Roman" w:hAnsi="Times New Roman"/>
        <w:caps/>
        <w:color w:val="555555"/>
        <w:sz w:val="18"/>
        <w:szCs w:val="18"/>
      </w:rPr>
      <w:t xml:space="preserve">KUMAR: SYNERGISTIC MULTI-DOMAIN OPTIMIZATION OF AUTONOMOUS UAV FLEET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A1A2E"/>
      <w:sz w:val="26"/>
      <w:szCs w:val="26"/>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i/>
      <w:iCs/>
      <w:color w:val="16213E"/>
      <w:sz w:val="24"/>
      <w:szCs w:val="24"/>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2026-05-29T09:48:30.594Z</dcterms:created>
  <dcterms:modified xsi:type="dcterms:W3CDTF">2026-05-29T09:48:30.594Z</dcterms:modified>
</cp:coreProperties>
</file>

<file path=docProps/custom.xml><?xml version="1.0" encoding="utf-8"?>
<Properties xmlns="http://schemas.openxmlformats.org/officeDocument/2006/custom-properties" xmlns:vt="http://schemas.openxmlformats.org/officeDocument/2006/docPropsVTypes"/>
</file>