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JEE Tutor MLOps Project Explained</w:t>
      </w:r>
    </w:p>
    <w:p>
      <w:r>
        <w:rPr>
          <w:color w:val="374B5F"/>
          <w:sz w:val="28"/>
        </w:rPr>
        <w:t>A step-by-step guide to data, storage, retrieval, model training, deployment, and project limits</w:t>
      </w:r>
    </w:p>
    <w:p>
      <w:pPr>
        <w:spacing w:before="360"/>
      </w:pPr>
      <w:r>
        <w:rPr>
          <w:b/>
        </w:rPr>
        <w:t>Prepared for a college MLOps presentation</w:t>
      </w:r>
    </w:p>
    <w:p>
      <w:r>
        <w:t>This guide follows the repository as it exists today. Its central lesson is that the project contains two connected educational workflows: a retrieval-grounded tutoring application and a separate synthetic-data MLOps experiment. The learner-classification experiment demonstrates drift monitoring and model promotion; it is not the model that generates the tutor’s answers.</w:t>
      </w:r>
    </w:p>
    <w:p>
      <w:pPr>
        <w:pStyle w:val="Heading2"/>
        <w:keepNext/>
      </w:pPr>
      <w:r>
        <w:t>One minute overview</w:t>
      </w:r>
    </w:p>
    <w:p>
      <w:r>
        <w:t>The tutor’s knowledge comes from NCERT chapters and JEE Main question documents. PDF extraction turns those sources into structured records and learning units. The learning units are embedded and indexed in ChromaDB. At question time, a Streamlit app retrieves useful textbook passages and exam questions, then sends them as reference context to Groq’s language model to write the explanation.</w:t>
      </w:r>
    </w:p>
    <w:p>
      <w:r>
        <w:t>Separately, a DVC pipeline creates simulated learner interactions, trains a logistic-regression classifier to predict whether a learner should step down in difficulty, introduces a controlled data shift, evaluates a retrained candidate, and applies a predeclared promotion gate. The current recorded gate rejects the candidate and retains the baseline.</w:t>
      </w:r>
    </w:p>
    <w:p>
      <w:pPr>
        <w:pStyle w:val="Heading2"/>
        <w:keepNext/>
      </w:pPr>
      <w:r>
        <w:t>How to use this guide</w:t>
      </w:r>
    </w:p>
    <w:p>
      <w:r>
        <w:t>Read Sections 1–5 to explain the tutor application. Read Sections 6–9 to explain the MLOps experiment and its measured result. Section 10 gives presentation wording and likely questions. The final section distinguishes what the code proves from what would be needed for a real production system.</w:t>
      </w:r>
    </w:p>
    <w:p>
      <w:r>
        <w:br w:type="page"/>
      </w:r>
    </w:p>
    <w:p>
      <w:pPr>
        <w:pStyle w:val="Heading1"/>
        <w:keepNext/>
      </w:pPr>
      <w:r>
        <w:t>1. The project at a glance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17365D"/>
            <w:vAlign w:val="center"/>
            <w:tcMar>
              <w:top w:w="100" w:type="dxa"/>
              <w:start w:w="120" w:type="dxa"/>
              <w:bottom w:w="100" w:type="dxa"/>
              <w:end w:w="120" w:type="dxa"/>
            </w:tcMar>
          </w:tcPr>
          <w:p>
            <w:r>
              <w:rPr>
                <w:b/>
                <w:color w:val="FFFFFF"/>
                <w:sz w:val="18"/>
              </w:rPr>
              <w:t>Layer</w:t>
            </w:r>
          </w:p>
        </w:tc>
        <w:tc>
          <w:tcPr>
            <w:tcW w:type="dxa" w:w="4176"/>
            <w:shd w:fill="17365D"/>
            <w:vAlign w:val="center"/>
            <w:tcMar>
              <w:top w:w="100" w:type="dxa"/>
              <w:start w:w="120" w:type="dxa"/>
              <w:bottom w:w="100" w:type="dxa"/>
              <w:end w:w="120" w:type="dxa"/>
            </w:tcMar>
          </w:tcPr>
          <w:p>
            <w:r>
              <w:rPr>
                <w:b/>
                <w:color w:val="FFFFFF"/>
                <w:sz w:val="18"/>
              </w:rPr>
              <w:t>What it does</w:t>
            </w:r>
          </w:p>
        </w:tc>
        <w:tc>
          <w:tcPr>
            <w:tcW w:type="dxa" w:w="3600"/>
            <w:shd w:fill="17365D"/>
            <w:vAlign w:val="center"/>
            <w:tcMar>
              <w:top w:w="100" w:type="dxa"/>
              <w:start w:w="120" w:type="dxa"/>
              <w:bottom w:w="100" w:type="dxa"/>
              <w:end w:w="120" w:type="dxa"/>
            </w:tcMar>
          </w:tcPr>
          <w:p>
            <w:r>
              <w:rPr>
                <w:b/>
                <w:color w:val="FFFFFF"/>
                <w:sz w:val="18"/>
              </w:rPr>
              <w:t>Main project pieces</w:t>
            </w:r>
          </w:p>
        </w:tc>
      </w:tr>
      <w:tr>
        <w:tc>
          <w:tcPr>
            <w:tcW w:type="dxa" w:w="1584"/>
            <w:vAlign w:val="center"/>
            <w:tcMar>
              <w:top w:w="100" w:type="dxa"/>
              <w:start w:w="120" w:type="dxa"/>
              <w:bottom w:w="100" w:type="dxa"/>
              <w:end w:w="120" w:type="dxa"/>
            </w:tcMar>
          </w:tcPr>
          <w:p>
            <w:pPr>
              <w:spacing w:after="20"/>
            </w:pPr>
            <w:r>
              <w:rPr>
                <w:sz w:val="17"/>
              </w:rPr>
              <w:t>Source data</w:t>
            </w:r>
          </w:p>
        </w:tc>
        <w:tc>
          <w:tcPr>
            <w:tcW w:type="dxa" w:w="4176"/>
            <w:vAlign w:val="center"/>
            <w:tcMar>
              <w:top w:w="100" w:type="dxa"/>
              <w:start w:w="120" w:type="dxa"/>
              <w:bottom w:w="100" w:type="dxa"/>
              <w:end w:w="120" w:type="dxa"/>
            </w:tcMar>
          </w:tcPr>
          <w:p>
            <w:pPr>
              <w:spacing w:after="20"/>
            </w:pPr>
            <w:r>
              <w:rPr>
                <w:sz w:val="17"/>
              </w:rPr>
              <w:t>Stores source PDFs and metadata for learning content.</w:t>
            </w:r>
          </w:p>
        </w:tc>
        <w:tc>
          <w:tcPr>
            <w:tcW w:type="dxa" w:w="3600"/>
            <w:vAlign w:val="center"/>
            <w:tcMar>
              <w:top w:w="100" w:type="dxa"/>
              <w:start w:w="120" w:type="dxa"/>
              <w:bottom w:w="100" w:type="dxa"/>
              <w:end w:w="120" w:type="dxa"/>
            </w:tcMar>
          </w:tcPr>
          <w:p>
            <w:pPr>
              <w:spacing w:after="20"/>
            </w:pPr>
            <w:r>
              <w:rPr>
                <w:sz w:val="17"/>
              </w:rPr>
              <w:t>NCERT/JEE PDFs; source manifests; data contract</w:t>
            </w:r>
          </w:p>
        </w:tc>
      </w:tr>
      <w:tr>
        <w:tc>
          <w:tcPr>
            <w:tcW w:type="dxa" w:w="1584"/>
            <w:vAlign w:val="center"/>
            <w:shd w:fill="F1F5F9"/>
            <w:tcMar>
              <w:top w:w="100" w:type="dxa"/>
              <w:start w:w="120" w:type="dxa"/>
              <w:bottom w:w="100" w:type="dxa"/>
              <w:end w:w="120" w:type="dxa"/>
            </w:tcMar>
          </w:tcPr>
          <w:p>
            <w:pPr>
              <w:spacing w:after="20"/>
            </w:pPr>
            <w:r>
              <w:rPr>
                <w:sz w:val="17"/>
              </w:rPr>
              <w:t>Content pipeline</w:t>
            </w:r>
          </w:p>
        </w:tc>
        <w:tc>
          <w:tcPr>
            <w:tcW w:type="dxa" w:w="4176"/>
            <w:vAlign w:val="center"/>
            <w:shd w:fill="F1F5F9"/>
            <w:tcMar>
              <w:top w:w="100" w:type="dxa"/>
              <w:start w:w="120" w:type="dxa"/>
              <w:bottom w:w="100" w:type="dxa"/>
              <w:end w:w="120" w:type="dxa"/>
            </w:tcMar>
          </w:tcPr>
          <w:p>
            <w:pPr>
              <w:spacing w:after="20"/>
            </w:pPr>
            <w:r>
              <w:rPr>
                <w:sz w:val="17"/>
              </w:rPr>
              <w:t>Extracts and validates text, questions, and figure assets.</w:t>
            </w:r>
          </w:p>
        </w:tc>
        <w:tc>
          <w:tcPr>
            <w:tcW w:type="dxa" w:w="3600"/>
            <w:vAlign w:val="center"/>
            <w:shd w:fill="F1F5F9"/>
            <w:tcMar>
              <w:top w:w="100" w:type="dxa"/>
              <w:start w:w="120" w:type="dxa"/>
              <w:bottom w:w="100" w:type="dxa"/>
              <w:end w:w="120" w:type="dxa"/>
            </w:tcMar>
          </w:tcPr>
          <w:p>
            <w:pPr>
              <w:spacing w:after="20"/>
            </w:pPr>
            <w:r>
              <w:rPr>
                <w:sz w:val="17"/>
              </w:rPr>
              <w:t>src/data; Pydantic models; JSONL; quality reports</w:t>
            </w:r>
          </w:p>
        </w:tc>
      </w:tr>
      <w:tr>
        <w:tc>
          <w:tcPr>
            <w:tcW w:type="dxa" w:w="1584"/>
            <w:vAlign w:val="center"/>
            <w:tcMar>
              <w:top w:w="100" w:type="dxa"/>
              <w:start w:w="120" w:type="dxa"/>
              <w:bottom w:w="100" w:type="dxa"/>
              <w:end w:w="120" w:type="dxa"/>
            </w:tcMar>
          </w:tcPr>
          <w:p>
            <w:pPr>
              <w:spacing w:after="20"/>
            </w:pPr>
            <w:r>
              <w:rPr>
                <w:sz w:val="17"/>
              </w:rPr>
              <w:t>Knowledge retrieval</w:t>
            </w:r>
          </w:p>
        </w:tc>
        <w:tc>
          <w:tcPr>
            <w:tcW w:type="dxa" w:w="4176"/>
            <w:vAlign w:val="center"/>
            <w:tcMar>
              <w:top w:w="100" w:type="dxa"/>
              <w:start w:w="120" w:type="dxa"/>
              <w:bottom w:w="100" w:type="dxa"/>
              <w:end w:w="120" w:type="dxa"/>
            </w:tcMar>
          </w:tcPr>
          <w:p>
            <w:pPr>
              <w:spacing w:after="20"/>
            </w:pPr>
            <w:r>
              <w:rPr>
                <w:sz w:val="17"/>
              </w:rPr>
              <w:t>Embeds learning units, stores vectors, finds matching context.</w:t>
            </w:r>
          </w:p>
        </w:tc>
        <w:tc>
          <w:tcPr>
            <w:tcW w:type="dxa" w:w="3600"/>
            <w:vAlign w:val="center"/>
            <w:tcMar>
              <w:top w:w="100" w:type="dxa"/>
              <w:start w:w="120" w:type="dxa"/>
              <w:bottom w:w="100" w:type="dxa"/>
              <w:end w:w="120" w:type="dxa"/>
            </w:tcMar>
          </w:tcPr>
          <w:p>
            <w:pPr>
              <w:spacing w:after="20"/>
            </w:pPr>
            <w:r>
              <w:rPr>
                <w:sz w:val="17"/>
              </w:rPr>
              <w:t>sentence-transformers; ChromaDB; src/retrieval</w:t>
            </w:r>
          </w:p>
        </w:tc>
      </w:tr>
      <w:tr>
        <w:tc>
          <w:tcPr>
            <w:tcW w:type="dxa" w:w="1584"/>
            <w:vAlign w:val="center"/>
            <w:shd w:fill="F1F5F9"/>
            <w:tcMar>
              <w:top w:w="100" w:type="dxa"/>
              <w:start w:w="120" w:type="dxa"/>
              <w:bottom w:w="100" w:type="dxa"/>
              <w:end w:w="120" w:type="dxa"/>
            </w:tcMar>
          </w:tcPr>
          <w:p>
            <w:pPr>
              <w:spacing w:after="20"/>
            </w:pPr>
            <w:r>
              <w:rPr>
                <w:sz w:val="17"/>
              </w:rPr>
              <w:t>Tutor experience</w:t>
            </w:r>
          </w:p>
        </w:tc>
        <w:tc>
          <w:tcPr>
            <w:tcW w:type="dxa" w:w="4176"/>
            <w:vAlign w:val="center"/>
            <w:shd w:fill="F1F5F9"/>
            <w:tcMar>
              <w:top w:w="100" w:type="dxa"/>
              <w:start w:w="120" w:type="dxa"/>
              <w:bottom w:w="100" w:type="dxa"/>
              <w:end w:w="120" w:type="dxa"/>
            </w:tcMar>
          </w:tcPr>
          <w:p>
            <w:pPr>
              <w:spacing w:after="20"/>
            </w:pPr>
            <w:r>
              <w:rPr>
                <w:sz w:val="17"/>
              </w:rPr>
              <w:t>Collects a student prompt and generates a lesson response.</w:t>
            </w:r>
          </w:p>
        </w:tc>
        <w:tc>
          <w:tcPr>
            <w:tcW w:type="dxa" w:w="3600"/>
            <w:vAlign w:val="center"/>
            <w:shd w:fill="F1F5F9"/>
            <w:tcMar>
              <w:top w:w="100" w:type="dxa"/>
              <w:start w:w="120" w:type="dxa"/>
              <w:bottom w:w="100" w:type="dxa"/>
              <w:end w:w="120" w:type="dxa"/>
            </w:tcMar>
          </w:tcPr>
          <w:p>
            <w:pPr>
              <w:spacing w:after="20"/>
            </w:pPr>
            <w:r>
              <w:rPr>
                <w:sz w:val="17"/>
              </w:rPr>
              <w:t>Streamlit app.py; Groq API</w:t>
            </w:r>
          </w:p>
        </w:tc>
      </w:tr>
      <w:tr>
        <w:tc>
          <w:tcPr>
            <w:tcW w:type="dxa" w:w="1584"/>
            <w:vAlign w:val="center"/>
            <w:tcMar>
              <w:top w:w="100" w:type="dxa"/>
              <w:start w:w="120" w:type="dxa"/>
              <w:bottom w:w="100" w:type="dxa"/>
              <w:end w:w="120" w:type="dxa"/>
            </w:tcMar>
          </w:tcPr>
          <w:p>
            <w:pPr>
              <w:spacing w:after="20"/>
            </w:pPr>
            <w:r>
              <w:rPr>
                <w:sz w:val="17"/>
              </w:rPr>
              <w:t>MLOps experiment</w:t>
            </w:r>
          </w:p>
        </w:tc>
        <w:tc>
          <w:tcPr>
            <w:tcW w:type="dxa" w:w="4176"/>
            <w:vAlign w:val="center"/>
            <w:tcMar>
              <w:top w:w="100" w:type="dxa"/>
              <w:start w:w="120" w:type="dxa"/>
              <w:bottom w:w="100" w:type="dxa"/>
              <w:end w:w="120" w:type="dxa"/>
            </w:tcMar>
          </w:tcPr>
          <w:p>
            <w:pPr>
              <w:spacing w:after="20"/>
            </w:pPr>
            <w:r>
              <w:rPr>
                <w:sz w:val="17"/>
              </w:rPr>
              <w:t>Simulates learner events, trains/evaluates versions, gates promotion.</w:t>
            </w:r>
          </w:p>
        </w:tc>
        <w:tc>
          <w:tcPr>
            <w:tcW w:type="dxa" w:w="3600"/>
            <w:vAlign w:val="center"/>
            <w:tcMar>
              <w:top w:w="100" w:type="dxa"/>
              <w:start w:w="120" w:type="dxa"/>
              <w:bottom w:w="100" w:type="dxa"/>
              <w:end w:w="120" w:type="dxa"/>
            </w:tcMar>
          </w:tcPr>
          <w:p>
            <w:pPr>
              <w:spacing w:after="20"/>
            </w:pPr>
            <w:r>
              <w:rPr>
                <w:sz w:val="17"/>
              </w:rPr>
              <w:t>src/track_b; DVC; models/track_b; reports/track_b</w:t>
            </w:r>
          </w:p>
        </w:tc>
      </w:tr>
      <w:tr>
        <w:tc>
          <w:tcPr>
            <w:tcW w:type="dxa" w:w="1584"/>
            <w:vAlign w:val="center"/>
            <w:shd w:fill="F1F5F9"/>
            <w:tcMar>
              <w:top w:w="100" w:type="dxa"/>
              <w:start w:w="120" w:type="dxa"/>
              <w:bottom w:w="100" w:type="dxa"/>
              <w:end w:w="120" w:type="dxa"/>
            </w:tcMar>
          </w:tcPr>
          <w:p>
            <w:pPr>
              <w:spacing w:after="20"/>
            </w:pPr>
            <w:r>
              <w:rPr>
                <w:sz w:val="17"/>
              </w:rPr>
              <w:t>Tracking/registry</w:t>
            </w:r>
          </w:p>
        </w:tc>
        <w:tc>
          <w:tcPr>
            <w:tcW w:type="dxa" w:w="4176"/>
            <w:vAlign w:val="center"/>
            <w:shd w:fill="F1F5F9"/>
            <w:tcMar>
              <w:top w:w="100" w:type="dxa"/>
              <w:start w:w="120" w:type="dxa"/>
              <w:bottom w:w="100" w:type="dxa"/>
              <w:end w:w="120" w:type="dxa"/>
            </w:tcMar>
          </w:tcPr>
          <w:p>
            <w:pPr>
              <w:spacing w:after="20"/>
            </w:pPr>
            <w:r>
              <w:rPr>
                <w:sz w:val="17"/>
              </w:rPr>
              <w:t>Records experiment runs and model versions locally.</w:t>
            </w:r>
          </w:p>
        </w:tc>
        <w:tc>
          <w:tcPr>
            <w:tcW w:type="dxa" w:w="3600"/>
            <w:vAlign w:val="center"/>
            <w:shd w:fill="F1F5F9"/>
            <w:tcMar>
              <w:top w:w="100" w:type="dxa"/>
              <w:start w:w="120" w:type="dxa"/>
              <w:bottom w:w="100" w:type="dxa"/>
              <w:end w:w="120" w:type="dxa"/>
            </w:tcMar>
          </w:tcPr>
          <w:p>
            <w:pPr>
              <w:spacing w:after="20"/>
            </w:pPr>
            <w:r>
              <w:rPr>
                <w:sz w:val="17"/>
              </w:rPr>
              <w:t>MLflow; mlflow.db (created locally)</w:t>
            </w:r>
          </w:p>
        </w:tc>
      </w:tr>
    </w:tbl>
    <w:p>
      <w:pPr>
        <w:spacing w:after="20"/>
      </w:pPr>
    </w:p>
    <w:p>
      <w:pPr>
        <w:pStyle w:val="Heading2"/>
        <w:keepNext/>
      </w:pPr>
      <w:r>
        <w:t>Two workflows, two model roles</w:t>
      </w:r>
    </w:p>
    <w:p>
      <w:r>
        <w:t>The retrieval workflow uses an embedding model to search educational content. It then calls a Groq-hosted generative model to write the answer. The Track B logistic-regression classifier predicts a difficulty-switch label from synthetic interaction rows. The Streamlit tutor code does not load or call that classifier; its displayed difficulty is selected by the user and passed to the prompt.</w:t>
      </w:r>
    </w:p>
    <w:p>
      <w:pPr>
        <w:pStyle w:val="Heading2"/>
        <w:keepNext/>
      </w:pPr>
      <w:r>
        <w:t>What “MLOps” means here</w:t>
      </w:r>
    </w:p>
    <w:p>
      <w:r>
        <w:t>MLOps applies software-engineering discipline to machine learning: version data and code, define repeatable stages, validate inputs, record metrics and artifacts, monitor changes, and make deployment decisions using explicit criteria. This repository demonstrates many of those controls in Track B. The tutoring interface is a prototype that consumes a prepared retrieval index.</w:t>
      </w:r>
    </w:p>
    <w:p>
      <w:pPr>
        <w:pStyle w:val="Heading1"/>
        <w:keepNext/>
      </w:pPr>
      <w:r>
        <w:t>2. Data collection and provenance</w:t>
      </w:r>
    </w:p>
    <w:p>
      <w:r>
        <w:t>The content pipeline starts with educational source files rather than scraping the web at runtime. The NCERT source list is declared in configs/ncert_sources.yaml: it names Physics and Chemistry PDF files and associates each with subject, class, language, and whether it is a chapter or supporting material. The JEE extractor accepts exam PDFs and derives year/session/shift metadata from their filenames where possible. The repository does not establish a live crawler or automated download process; source acquisition is upstream and the exact provenance should be described from your team’s collection records.</w:t>
      </w:r>
    </w:p>
    <w:p>
      <w:r>
        <w:t>For each source PDF, source records capture metadata and a SHA-256 checksum. A checksum is a fingerprint of the file bytes: it helps identify whether the source changed and makes reruns auditable. Stable IDs connect source records to chapter, question, block, and asset records.</w:t>
      </w:r>
    </w:p>
    <w:p>
      <w:pPr>
        <w:pStyle w:val="Heading2"/>
        <w:keepNext/>
      </w:pPr>
      <w:r>
        <w:t>What gets extracted</w:t>
      </w:r>
    </w:p>
    <w:p>
      <w:pPr>
        <w:pStyle w:val="ListBullet"/>
        <w:spacing w:after="60"/>
      </w:pPr>
      <w:r>
        <w:t>NCERT pipeline: chapter text is organized into ordered blocks such as headings, paragraphs, tables, equations, figures, and captions. Cleaning aims to remove extraction noise while preserving meaningful notation and order.</w:t>
      </w:r>
    </w:p>
    <w:p>
      <w:pPr>
        <w:pStyle w:val="ListBullet"/>
        <w:spacing w:after="60"/>
      </w:pPr>
      <w:r>
        <w:t>JEE pipeline: questions are parsed with page geometry so question text, options, and answer-key entries can be assembled. Difficulty is not assumed to be correct just because a field exists; the data contract records source and review status.</w:t>
      </w:r>
    </w:p>
    <w:p>
      <w:pPr>
        <w:pStyle w:val="ListBullet"/>
        <w:spacing w:after="60"/>
      </w:pPr>
      <w:r>
        <w:t>Assets: extracted images are stored as separate binary files, with manifest rows containing checksum, source page, bounding box, and references. Uncertain figure associations are marked for review rather than guessed.</w:t>
      </w:r>
    </w:p>
    <w:p>
      <w:pPr>
        <w:pStyle w:val="Heading2"/>
        <w:keepNext/>
      </w:pPr>
      <w:r>
        <w:t>Validation and quality checks</w:t>
      </w:r>
    </w:p>
    <w:p>
      <w:r>
        <w:t>Pydantic record models check fields, types, and allowed values. Dataset-level checks then look for duplicate IDs, broken source/asset references, invalid block order, and checksum problems. Rejected rows are written to quarantine, and a JSON quality report summarizes what passed, failed, or needs review. The NCERT pipeline writes temporary outputs and promotes canonical records only after integrity checks succeed.</w:t>
      </w:r>
    </w:p>
    <w:p>
      <w:r>
        <w:br w:type="page"/>
      </w:r>
    </w:p>
    <w:p>
      <w:pPr>
        <w:pStyle w:val="Heading1"/>
        <w:keepNext/>
      </w:pPr>
      <w:r>
        <w:t>3. Where the data lives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shd w:fill="17365D"/>
            <w:vAlign w:val="center"/>
            <w:tcMar>
              <w:top w:w="100" w:type="dxa"/>
              <w:start w:w="120" w:type="dxa"/>
              <w:bottom w:w="100" w:type="dxa"/>
              <w:end w:w="120" w:type="dxa"/>
            </w:tcMar>
          </w:tcPr>
          <w:p>
            <w:r>
              <w:rPr>
                <w:b/>
                <w:color w:val="FFFFFF"/>
                <w:sz w:val="18"/>
              </w:rPr>
              <w:t>Data / artifact</w:t>
            </w:r>
          </w:p>
        </w:tc>
        <w:tc>
          <w:tcPr>
            <w:tcW w:type="dxa" w:w="3888"/>
            <w:shd w:fill="17365D"/>
            <w:vAlign w:val="center"/>
            <w:tcMar>
              <w:top w:w="100" w:type="dxa"/>
              <w:start w:w="120" w:type="dxa"/>
              <w:bottom w:w="100" w:type="dxa"/>
              <w:end w:w="120" w:type="dxa"/>
            </w:tcMar>
          </w:tcPr>
          <w:p>
            <w:r>
              <w:rPr>
                <w:b/>
                <w:color w:val="FFFFFF"/>
                <w:sz w:val="18"/>
              </w:rPr>
              <w:t>Format and location</w:t>
            </w:r>
          </w:p>
        </w:tc>
        <w:tc>
          <w:tcPr>
            <w:tcW w:type="dxa" w:w="3312"/>
            <w:shd w:fill="17365D"/>
            <w:vAlign w:val="center"/>
            <w:tcMar>
              <w:top w:w="100" w:type="dxa"/>
              <w:start w:w="120" w:type="dxa"/>
              <w:bottom w:w="100" w:type="dxa"/>
              <w:end w:w="120" w:type="dxa"/>
            </w:tcMar>
          </w:tcPr>
          <w:p>
            <w:r>
              <w:rPr>
                <w:b/>
                <w:color w:val="FFFFFF"/>
                <w:sz w:val="18"/>
              </w:rPr>
              <w:t>Purpose</w:t>
            </w:r>
          </w:p>
        </w:tc>
      </w:tr>
      <w:tr>
        <w:tc>
          <w:tcPr>
            <w:tcW w:type="dxa" w:w="2304"/>
            <w:vAlign w:val="center"/>
            <w:tcMar>
              <w:top w:w="100" w:type="dxa"/>
              <w:start w:w="120" w:type="dxa"/>
              <w:bottom w:w="100" w:type="dxa"/>
              <w:end w:w="120" w:type="dxa"/>
            </w:tcMar>
          </w:tcPr>
          <w:p>
            <w:pPr>
              <w:spacing w:after="20"/>
            </w:pPr>
            <w:r>
              <w:rPr>
                <w:sz w:val="17"/>
              </w:rPr>
              <w:t>Original educational PDFs</w:t>
            </w:r>
          </w:p>
        </w:tc>
        <w:tc>
          <w:tcPr>
            <w:tcW w:type="dxa" w:w="3888"/>
            <w:vAlign w:val="center"/>
            <w:tcMar>
              <w:top w:w="100" w:type="dxa"/>
              <w:start w:w="120" w:type="dxa"/>
              <w:bottom w:w="100" w:type="dxa"/>
              <w:end w:w="120" w:type="dxa"/>
            </w:tcMar>
          </w:tcPr>
          <w:p>
            <w:pPr>
              <w:spacing w:after="20"/>
            </w:pPr>
            <w:r>
              <w:rPr>
                <w:sz w:val="17"/>
              </w:rPr>
              <w:t>Expected under data/raw/ncert and configured JEE source locations</w:t>
            </w:r>
          </w:p>
        </w:tc>
        <w:tc>
          <w:tcPr>
            <w:tcW w:type="dxa" w:w="3312"/>
            <w:vAlign w:val="center"/>
            <w:tcMar>
              <w:top w:w="100" w:type="dxa"/>
              <w:start w:w="120" w:type="dxa"/>
              <w:bottom w:w="100" w:type="dxa"/>
              <w:end w:w="120" w:type="dxa"/>
            </w:tcMar>
          </w:tcPr>
          <w:p>
            <w:pPr>
              <w:spacing w:after="20"/>
            </w:pPr>
            <w:r>
              <w:rPr>
                <w:sz w:val="17"/>
              </w:rPr>
              <w:t>Human-readable source of truth for extracted content</w:t>
            </w:r>
          </w:p>
        </w:tc>
      </w:tr>
      <w:tr>
        <w:tc>
          <w:tcPr>
            <w:tcW w:type="dxa" w:w="2304"/>
            <w:vAlign w:val="center"/>
            <w:shd w:fill="F1F5F9"/>
            <w:tcMar>
              <w:top w:w="100" w:type="dxa"/>
              <w:start w:w="120" w:type="dxa"/>
              <w:bottom w:w="100" w:type="dxa"/>
              <w:end w:w="120" w:type="dxa"/>
            </w:tcMar>
          </w:tcPr>
          <w:p>
            <w:pPr>
              <w:spacing w:after="20"/>
            </w:pPr>
            <w:r>
              <w:rPr>
                <w:sz w:val="17"/>
              </w:rPr>
              <w:t>Source and extraction records</w:t>
            </w:r>
          </w:p>
        </w:tc>
        <w:tc>
          <w:tcPr>
            <w:tcW w:type="dxa" w:w="3888"/>
            <w:vAlign w:val="center"/>
            <w:shd w:fill="F1F5F9"/>
            <w:tcMar>
              <w:top w:w="100" w:type="dxa"/>
              <w:start w:w="120" w:type="dxa"/>
              <w:bottom w:w="100" w:type="dxa"/>
              <w:end w:w="120" w:type="dxa"/>
            </w:tcMar>
          </w:tcPr>
          <w:p>
            <w:pPr>
              <w:spacing w:after="20"/>
            </w:pPr>
            <w:r>
              <w:rPr>
                <w:sz w:val="17"/>
              </w:rPr>
              <w:t>JSON Lines under data/interim and data/processed</w:t>
            </w:r>
          </w:p>
        </w:tc>
        <w:tc>
          <w:tcPr>
            <w:tcW w:type="dxa" w:w="3312"/>
            <w:vAlign w:val="center"/>
            <w:shd w:fill="F1F5F9"/>
            <w:tcMar>
              <w:top w:w="100" w:type="dxa"/>
              <w:start w:w="120" w:type="dxa"/>
              <w:bottom w:w="100" w:type="dxa"/>
              <w:end w:w="120" w:type="dxa"/>
            </w:tcMar>
          </w:tcPr>
          <w:p>
            <w:pPr>
              <w:spacing w:after="20"/>
            </w:pPr>
            <w:r>
              <w:rPr>
                <w:sz w:val="17"/>
              </w:rPr>
              <w:t>One JSON object per line; machine-readable provenance and content</w:t>
            </w:r>
          </w:p>
        </w:tc>
      </w:tr>
      <w:tr>
        <w:tc>
          <w:tcPr>
            <w:tcW w:type="dxa" w:w="2304"/>
            <w:vAlign w:val="center"/>
            <w:tcMar>
              <w:top w:w="100" w:type="dxa"/>
              <w:start w:w="120" w:type="dxa"/>
              <w:bottom w:w="100" w:type="dxa"/>
              <w:end w:w="120" w:type="dxa"/>
            </w:tcMar>
          </w:tcPr>
          <w:p>
            <w:pPr>
              <w:spacing w:after="20"/>
            </w:pPr>
            <w:r>
              <w:rPr>
                <w:sz w:val="17"/>
              </w:rPr>
              <w:t>Extracted figures</w:t>
            </w:r>
          </w:p>
        </w:tc>
        <w:tc>
          <w:tcPr>
            <w:tcW w:type="dxa" w:w="3888"/>
            <w:vAlign w:val="center"/>
            <w:tcMar>
              <w:top w:w="100" w:type="dxa"/>
              <w:start w:w="120" w:type="dxa"/>
              <w:bottom w:w="100" w:type="dxa"/>
              <w:end w:w="120" w:type="dxa"/>
            </w:tcMar>
          </w:tcPr>
          <w:p>
            <w:pPr>
              <w:spacing w:after="20"/>
            </w:pPr>
            <w:r>
              <w:rPr>
                <w:sz w:val="17"/>
              </w:rPr>
              <w:t>Binary files under data/assets/sha256/... plus JSONL manifest</w:t>
            </w:r>
          </w:p>
        </w:tc>
        <w:tc>
          <w:tcPr>
            <w:tcW w:type="dxa" w:w="3312"/>
            <w:vAlign w:val="center"/>
            <w:tcMar>
              <w:top w:w="100" w:type="dxa"/>
              <w:start w:w="120" w:type="dxa"/>
              <w:bottom w:w="100" w:type="dxa"/>
              <w:end w:w="120" w:type="dxa"/>
            </w:tcMar>
          </w:tcPr>
          <w:p>
            <w:pPr>
              <w:spacing w:after="20"/>
            </w:pPr>
            <w:r>
              <w:rPr>
                <w:sz w:val="17"/>
              </w:rPr>
              <w:t>Content-addressed storage and links back to pages/records</w:t>
            </w:r>
          </w:p>
        </w:tc>
      </w:tr>
      <w:tr>
        <w:tc>
          <w:tcPr>
            <w:tcW w:type="dxa" w:w="2304"/>
            <w:vAlign w:val="center"/>
            <w:shd w:fill="F1F5F9"/>
            <w:tcMar>
              <w:top w:w="100" w:type="dxa"/>
              <w:start w:w="120" w:type="dxa"/>
              <w:bottom w:w="100" w:type="dxa"/>
              <w:end w:w="120" w:type="dxa"/>
            </w:tcMar>
          </w:tcPr>
          <w:p>
            <w:pPr>
              <w:spacing w:after="20"/>
            </w:pPr>
            <w:r>
              <w:rPr>
                <w:sz w:val="17"/>
              </w:rPr>
              <w:t>Tutor retrieval index</w:t>
            </w:r>
          </w:p>
        </w:tc>
        <w:tc>
          <w:tcPr>
            <w:tcW w:type="dxa" w:w="3888"/>
            <w:vAlign w:val="center"/>
            <w:shd w:fill="F1F5F9"/>
            <w:tcMar>
              <w:top w:w="100" w:type="dxa"/>
              <w:start w:w="120" w:type="dxa"/>
              <w:bottom w:w="100" w:type="dxa"/>
              <w:end w:w="120" w:type="dxa"/>
            </w:tcMar>
          </w:tcPr>
          <w:p>
            <w:pPr>
              <w:spacing w:after="20"/>
            </w:pPr>
            <w:r>
              <w:rPr>
                <w:sz w:val="17"/>
              </w:rPr>
              <w:t>ChromaDB service, exposed on localhost:8000; Docker volume chroma_data</w:t>
            </w:r>
          </w:p>
        </w:tc>
        <w:tc>
          <w:tcPr>
            <w:tcW w:type="dxa" w:w="3312"/>
            <w:vAlign w:val="center"/>
            <w:shd w:fill="F1F5F9"/>
            <w:tcMar>
              <w:top w:w="100" w:type="dxa"/>
              <w:start w:w="120" w:type="dxa"/>
              <w:bottom w:w="100" w:type="dxa"/>
              <w:end w:w="120" w:type="dxa"/>
            </w:tcMar>
          </w:tcPr>
          <w:p>
            <w:pPr>
              <w:spacing w:after="20"/>
            </w:pPr>
            <w:r>
              <w:rPr>
                <w:sz w:val="17"/>
              </w:rPr>
              <w:t>Stores vectors, searchable document text, and metadata</w:t>
            </w:r>
          </w:p>
        </w:tc>
      </w:tr>
      <w:tr>
        <w:tc>
          <w:tcPr>
            <w:tcW w:type="dxa" w:w="2304"/>
            <w:vAlign w:val="center"/>
            <w:tcMar>
              <w:top w:w="100" w:type="dxa"/>
              <w:start w:w="120" w:type="dxa"/>
              <w:bottom w:w="100" w:type="dxa"/>
              <w:end w:w="120" w:type="dxa"/>
            </w:tcMar>
          </w:tcPr>
          <w:p>
            <w:pPr>
              <w:spacing w:after="20"/>
            </w:pPr>
            <w:r>
              <w:rPr>
                <w:sz w:val="17"/>
              </w:rPr>
              <w:t>Synthetic Track B datasets</w:t>
            </w:r>
          </w:p>
        </w:tc>
        <w:tc>
          <w:tcPr>
            <w:tcW w:type="dxa" w:w="3888"/>
            <w:vAlign w:val="center"/>
            <w:tcMar>
              <w:top w:w="100" w:type="dxa"/>
              <w:start w:w="120" w:type="dxa"/>
              <w:bottom w:w="100" w:type="dxa"/>
              <w:end w:w="120" w:type="dxa"/>
            </w:tcMar>
          </w:tcPr>
          <w:p>
            <w:pPr>
              <w:spacing w:after="20"/>
            </w:pPr>
            <w:r>
              <w:rPr>
                <w:sz w:val="17"/>
              </w:rPr>
              <w:t>CSV and metadata sidecar under data/synthetic</w:t>
            </w:r>
          </w:p>
        </w:tc>
        <w:tc>
          <w:tcPr>
            <w:tcW w:type="dxa" w:w="3312"/>
            <w:vAlign w:val="center"/>
            <w:tcMar>
              <w:top w:w="100" w:type="dxa"/>
              <w:start w:w="120" w:type="dxa"/>
              <w:bottom w:w="100" w:type="dxa"/>
              <w:end w:w="120" w:type="dxa"/>
            </w:tcMar>
          </w:tcPr>
          <w:p>
            <w:pPr>
              <w:spacing w:after="20"/>
            </w:pPr>
            <w:r>
              <w:rPr>
                <w:sz w:val="17"/>
              </w:rPr>
              <w:t>Reproducible simulated interaction records</w:t>
            </w:r>
          </w:p>
        </w:tc>
      </w:tr>
      <w:tr>
        <w:tc>
          <w:tcPr>
            <w:tcW w:type="dxa" w:w="2304"/>
            <w:vAlign w:val="center"/>
            <w:shd w:fill="F1F5F9"/>
            <w:tcMar>
              <w:top w:w="100" w:type="dxa"/>
              <w:start w:w="120" w:type="dxa"/>
              <w:bottom w:w="100" w:type="dxa"/>
              <w:end w:w="120" w:type="dxa"/>
            </w:tcMar>
          </w:tcPr>
          <w:p>
            <w:pPr>
              <w:spacing w:after="20"/>
            </w:pPr>
            <w:r>
              <w:rPr>
                <w:sz w:val="17"/>
              </w:rPr>
              <w:t>Track B models and reports</w:t>
            </w:r>
          </w:p>
        </w:tc>
        <w:tc>
          <w:tcPr>
            <w:tcW w:type="dxa" w:w="3888"/>
            <w:vAlign w:val="center"/>
            <w:shd w:fill="F1F5F9"/>
            <w:tcMar>
              <w:top w:w="100" w:type="dxa"/>
              <w:start w:w="120" w:type="dxa"/>
              <w:bottom w:w="100" w:type="dxa"/>
              <w:end w:w="120" w:type="dxa"/>
            </w:tcMar>
          </w:tcPr>
          <w:p>
            <w:pPr>
              <w:spacing w:after="20"/>
            </w:pPr>
            <w:r>
              <w:rPr>
                <w:sz w:val="17"/>
              </w:rPr>
              <w:t>models/track_b and reports/track_b</w:t>
            </w:r>
          </w:p>
        </w:tc>
        <w:tc>
          <w:tcPr>
            <w:tcW w:type="dxa" w:w="3312"/>
            <w:vAlign w:val="center"/>
            <w:shd w:fill="F1F5F9"/>
            <w:tcMar>
              <w:top w:w="100" w:type="dxa"/>
              <w:start w:w="120" w:type="dxa"/>
              <w:bottom w:w="100" w:type="dxa"/>
              <w:end w:w="120" w:type="dxa"/>
            </w:tcMar>
          </w:tcPr>
          <w:p>
            <w:pPr>
              <w:spacing w:after="20"/>
            </w:pPr>
            <w:r>
              <w:rPr>
                <w:sz w:val="17"/>
              </w:rPr>
              <w:t>Serialized model artifacts, model cards, metrics, drift and gate decisions</w:t>
            </w:r>
          </w:p>
        </w:tc>
      </w:tr>
      <w:tr>
        <w:tc>
          <w:tcPr>
            <w:tcW w:type="dxa" w:w="2304"/>
            <w:vAlign w:val="center"/>
            <w:tcMar>
              <w:top w:w="100" w:type="dxa"/>
              <w:start w:w="120" w:type="dxa"/>
              <w:bottom w:w="100" w:type="dxa"/>
              <w:end w:w="120" w:type="dxa"/>
            </w:tcMar>
          </w:tcPr>
          <w:p>
            <w:pPr>
              <w:spacing w:after="20"/>
            </w:pPr>
            <w:r>
              <w:rPr>
                <w:sz w:val="17"/>
              </w:rPr>
              <w:t>MLflow tracking</w:t>
            </w:r>
          </w:p>
        </w:tc>
        <w:tc>
          <w:tcPr>
            <w:tcW w:type="dxa" w:w="3888"/>
            <w:vAlign w:val="center"/>
            <w:tcMar>
              <w:top w:w="100" w:type="dxa"/>
              <w:start w:w="120" w:type="dxa"/>
              <w:bottom w:w="100" w:type="dxa"/>
              <w:end w:w="120" w:type="dxa"/>
            </w:tcMar>
          </w:tcPr>
          <w:p>
            <w:pPr>
              <w:spacing w:after="20"/>
            </w:pPr>
            <w:r>
              <w:rPr>
                <w:sz w:val="17"/>
              </w:rPr>
              <w:t>Local SQLite mlflow.db when registered</w:t>
            </w:r>
          </w:p>
        </w:tc>
        <w:tc>
          <w:tcPr>
            <w:tcW w:type="dxa" w:w="3312"/>
            <w:vAlign w:val="center"/>
            <w:tcMar>
              <w:top w:w="100" w:type="dxa"/>
              <w:start w:w="120" w:type="dxa"/>
              <w:bottom w:w="100" w:type="dxa"/>
              <w:end w:w="120" w:type="dxa"/>
            </w:tcMar>
          </w:tcPr>
          <w:p>
            <w:pPr>
              <w:spacing w:after="20"/>
            </w:pPr>
            <w:r>
              <w:rPr>
                <w:sz w:val="17"/>
              </w:rPr>
              <w:t>Experiment runs, parameters, metrics, and model versions</w:t>
            </w:r>
          </w:p>
        </w:tc>
      </w:tr>
    </w:tbl>
    <w:p>
      <w:pPr>
        <w:spacing w:after="20"/>
      </w:pPr>
    </w:p>
    <w:p>
      <w:r>
        <w:t>DVC describes and versions pipeline inputs and outputs. The README says processed source JSONL data is retrieved with dvc pull and that access to the configured remote is required; the DVC pipeline comment reserves S3 for those larger processed datasets. Small Track B outputs are configured with cache:false so they stay in Git rather than DVC cache. Chroma’s persisted index is in its Docker volume, not the DVC-tracked JSONL itself.</w:t>
      </w:r>
    </w:p>
    <w:p>
      <w:r>
        <w:t>A useful mental model is: Git versions the code/configuration and small reports; DVC versions or locates larger datasets; the Chroma volume holds the search index; MLflow stores experiment metadata/model registry information locally. The index can be rebuilt from processed learning units if the input file and embedding model are available.</w:t>
      </w:r>
    </w:p>
    <w:p>
      <w:pPr>
        <w:pStyle w:val="Heading2"/>
        <w:keepNext/>
      </w:pPr>
      <w:r>
        <w:t>Repository state caveat</w:t>
      </w:r>
    </w:p>
    <w:p>
      <w:r>
        <w:t>The checked-in NCERT quality report currently lists the configured raw PDFs as missing and reports zero chapters produced. An index-build manifest records a previous build that read 9,845 learning units and indexed 9,813, skipping 32 empty units. Those are different pieces of evidence: the manifest documents a prior index build, while the quality report describes the available raw-input state captured in that report. Do not claim that all source PDFs or the Chroma index are present on a fresh clone unless you have pulled the DVC data and started/rebuilt Chroma.</w:t>
      </w:r>
    </w:p>
    <w:p>
      <w:pPr>
        <w:pStyle w:val="Heading1"/>
        <w:keepNext/>
      </w:pPr>
      <w:r>
        <w:t>4. Preparing the tutor knowledge base</w:t>
      </w:r>
    </w:p>
    <w:p>
      <w:r>
        <w:t>The offline preparation path is separate from answering a student. First obtain the DVC-managed processed records and run the content extraction/validation workflows when source PDFs are available. Next, learning-unit records provide topic-sized pieces of content linked back to chapters. A retrieval unit is smaller than a whole book: it gives semantic search a focused passage to match against a student question.</w:t>
      </w:r>
    </w:p>
    <w:p>
      <w:r>
        <w:t>The NCERT index builder reads data/processed/ncert_learning_units.jsonl. It formats each record with subject, class, chapter, topic, and text, skips empty records, and rejects missing or duplicate unit IDs. sentence-transformers/all-MiniLM-L6-v2 encodes each formatted text into a 384-dimensional vector. The builder upserts vectors, original formatted text, stable IDs, and metadata into the Chroma collection ncert_learning_units_v1 using cosine distance. The JEE index has its own builder/configuration and collection.</w:t>
      </w:r>
    </w:p>
    <w:p>
      <w:r>
        <w:t>The build manifest records the input checksum, record counts, collection count, embedding model, vector dimension, distance metric, and software versions. This is the evidence needed to understand what went into an index build and to detect accidental mismatches.</w:t>
      </w:r>
    </w:p>
    <w:p>
      <w:pPr>
        <w:pStyle w:val="Heading2"/>
        <w:keepNext/>
      </w:pPr>
      <w:r>
        <w:t>Retrieval at question time</w:t>
      </w:r>
    </w:p>
    <w:p>
      <w:r>
        <w:t>The query gateway normalizes the prompt and assigns a likely intent such as DEFINE, EXPLAIN, SOLVE, PRACTICE, COMPARE, or SUMMARIZE. It can infer subject hints and choose which corpus to search. The retrieval module obtains more candidates than it needs, then reranks them using a weighted combination: semantic relevance 65%, lexical overlap 25%, and intent fit 10%. Those scores help order results; they are ranking signals, not calibrated probabilities.</w:t>
      </w:r>
    </w:p>
    <w:p>
      <w:r>
        <w:t>Difficulty changes the mix of retrieved materials. Easy requests favor more NCERT context, while hard requests favor more JEE questions. For example, the configured allocation is six NCERT and two JEE items for easy, four and four for medium, and two and six for hard. Subject and corpus conditions further shape the results.</w:t>
      </w:r>
    </w:p>
    <w:p>
      <w:r>
        <w:br w:type="page"/>
      </w:r>
    </w:p>
    <w:p>
      <w:pPr>
        <w:pStyle w:val="Heading1"/>
        <w:keepNext/>
      </w:pPr>
      <w:r>
        <w:t>5. How one student question becomes an answer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17365D"/>
            <w:vAlign w:val="center"/>
            <w:tcMar>
              <w:top w:w="100" w:type="dxa"/>
              <w:start w:w="120" w:type="dxa"/>
              <w:bottom w:w="100" w:type="dxa"/>
              <w:end w:w="120" w:type="dxa"/>
            </w:tcMar>
          </w:tcPr>
          <w:p>
            <w:r>
              <w:rPr>
                <w:b/>
                <w:color w:val="FFFFFF"/>
                <w:sz w:val="18"/>
              </w:rPr>
              <w:t>Step</w:t>
            </w:r>
          </w:p>
        </w:tc>
        <w:tc>
          <w:tcPr>
            <w:tcW w:type="dxa" w:w="4608"/>
            <w:shd w:fill="17365D"/>
            <w:vAlign w:val="center"/>
            <w:tcMar>
              <w:top w:w="100" w:type="dxa"/>
              <w:start w:w="120" w:type="dxa"/>
              <w:bottom w:w="100" w:type="dxa"/>
              <w:end w:w="120" w:type="dxa"/>
            </w:tcMar>
          </w:tcPr>
          <w:p>
            <w:r>
              <w:rPr>
                <w:b/>
                <w:color w:val="FFFFFF"/>
                <w:sz w:val="18"/>
              </w:rPr>
              <w:t>What happens</w:t>
            </w:r>
          </w:p>
        </w:tc>
        <w:tc>
          <w:tcPr>
            <w:tcW w:type="dxa" w:w="3312"/>
            <w:shd w:fill="17365D"/>
            <w:vAlign w:val="center"/>
            <w:tcMar>
              <w:top w:w="100" w:type="dxa"/>
              <w:start w:w="120" w:type="dxa"/>
              <w:bottom w:w="100" w:type="dxa"/>
              <w:end w:w="120" w:type="dxa"/>
            </w:tcMar>
          </w:tcPr>
          <w:p>
            <w:r>
              <w:rPr>
                <w:b/>
                <w:color w:val="FFFFFF"/>
                <w:sz w:val="18"/>
              </w:rPr>
              <w:t>Why it matters</w:t>
            </w:r>
          </w:p>
        </w:tc>
      </w:tr>
      <w:tr>
        <w:tc>
          <w:tcPr>
            <w:tcW w:type="dxa" w:w="1584"/>
            <w:vAlign w:val="center"/>
            <w:tcMar>
              <w:top w:w="100" w:type="dxa"/>
              <w:start w:w="120" w:type="dxa"/>
              <w:bottom w:w="100" w:type="dxa"/>
              <w:end w:w="120" w:type="dxa"/>
            </w:tcMar>
          </w:tcPr>
          <w:p>
            <w:pPr>
              <w:spacing w:after="20"/>
            </w:pPr>
            <w:r>
              <w:rPr>
                <w:sz w:val="17"/>
              </w:rPr>
              <w:t>1. Student input</w:t>
            </w:r>
          </w:p>
        </w:tc>
        <w:tc>
          <w:tcPr>
            <w:tcW w:type="dxa" w:w="4608"/>
            <w:vAlign w:val="center"/>
            <w:tcMar>
              <w:top w:w="100" w:type="dxa"/>
              <w:start w:w="120" w:type="dxa"/>
              <w:bottom w:w="100" w:type="dxa"/>
              <w:end w:w="120" w:type="dxa"/>
            </w:tcMar>
          </w:tcPr>
          <w:p>
            <w:pPr>
              <w:spacing w:after="20"/>
            </w:pPr>
            <w:r>
              <w:rPr>
                <w:sz w:val="17"/>
              </w:rPr>
              <w:t>The student types a prompt and selects Physics, Chemistry, or Mathematics and Easy, Medium, or Hard.</w:t>
            </w:r>
          </w:p>
        </w:tc>
        <w:tc>
          <w:tcPr>
            <w:tcW w:type="dxa" w:w="3312"/>
            <w:vAlign w:val="center"/>
            <w:tcMar>
              <w:top w:w="100" w:type="dxa"/>
              <w:start w:w="120" w:type="dxa"/>
              <w:bottom w:w="100" w:type="dxa"/>
              <w:end w:w="120" w:type="dxa"/>
            </w:tcMar>
          </w:tcPr>
          <w:p>
            <w:pPr>
              <w:spacing w:after="20"/>
            </w:pPr>
            <w:r>
              <w:rPr>
                <w:sz w:val="17"/>
              </w:rPr>
              <w:t>The interface receives subject and difficulty explicitly; it does not infer learner ability.</w:t>
            </w:r>
          </w:p>
        </w:tc>
      </w:tr>
      <w:tr>
        <w:tc>
          <w:tcPr>
            <w:tcW w:type="dxa" w:w="1584"/>
            <w:vAlign w:val="center"/>
            <w:shd w:fill="F1F5F9"/>
            <w:tcMar>
              <w:top w:w="100" w:type="dxa"/>
              <w:start w:w="120" w:type="dxa"/>
              <w:bottom w:w="100" w:type="dxa"/>
              <w:end w:w="120" w:type="dxa"/>
            </w:tcMar>
          </w:tcPr>
          <w:p>
            <w:pPr>
              <w:spacing w:after="20"/>
            </w:pPr>
            <w:r>
              <w:rPr>
                <w:sz w:val="17"/>
              </w:rPr>
              <w:t>2. Retrieve context</w:t>
            </w:r>
          </w:p>
        </w:tc>
        <w:tc>
          <w:tcPr>
            <w:tcW w:type="dxa" w:w="4608"/>
            <w:vAlign w:val="center"/>
            <w:shd w:fill="F1F5F9"/>
            <w:tcMar>
              <w:top w:w="100" w:type="dxa"/>
              <w:start w:w="120" w:type="dxa"/>
              <w:bottom w:w="100" w:type="dxa"/>
              <w:end w:w="120" w:type="dxa"/>
            </w:tcMar>
          </w:tcPr>
          <w:p>
            <w:pPr>
              <w:spacing w:after="20"/>
            </w:pPr>
            <w:r>
              <w:rPr>
                <w:sz w:val="17"/>
              </w:rPr>
              <w:t>The app calls the local retrieval function, which searches Chroma and returns NCERT excerpts and JEE questions.</w:t>
            </w:r>
          </w:p>
        </w:tc>
        <w:tc>
          <w:tcPr>
            <w:tcW w:type="dxa" w:w="3312"/>
            <w:vAlign w:val="center"/>
            <w:shd w:fill="F1F5F9"/>
            <w:tcMar>
              <w:top w:w="100" w:type="dxa"/>
              <w:start w:w="120" w:type="dxa"/>
              <w:bottom w:w="100" w:type="dxa"/>
              <w:end w:w="120" w:type="dxa"/>
            </w:tcMar>
          </w:tcPr>
          <w:p>
            <w:pPr>
              <w:spacing w:after="20"/>
            </w:pPr>
            <w:r>
              <w:rPr>
                <w:sz w:val="17"/>
              </w:rPr>
              <w:t>The language model can use project material as grounding context.</w:t>
            </w:r>
          </w:p>
        </w:tc>
      </w:tr>
      <w:tr>
        <w:tc>
          <w:tcPr>
            <w:tcW w:type="dxa" w:w="1584"/>
            <w:vAlign w:val="center"/>
            <w:tcMar>
              <w:top w:w="100" w:type="dxa"/>
              <w:start w:w="120" w:type="dxa"/>
              <w:bottom w:w="100" w:type="dxa"/>
              <w:end w:w="120" w:type="dxa"/>
            </w:tcMar>
          </w:tcPr>
          <w:p>
            <w:pPr>
              <w:spacing w:after="20"/>
            </w:pPr>
            <w:r>
              <w:rPr>
                <w:sz w:val="17"/>
              </w:rPr>
              <w:t>3. Build messages</w:t>
            </w:r>
          </w:p>
        </w:tc>
        <w:tc>
          <w:tcPr>
            <w:tcW w:type="dxa" w:w="4608"/>
            <w:vAlign w:val="center"/>
            <w:tcMar>
              <w:top w:w="100" w:type="dxa"/>
              <w:start w:w="120" w:type="dxa"/>
              <w:bottom w:w="100" w:type="dxa"/>
              <w:end w:w="120" w:type="dxa"/>
            </w:tcMar>
          </w:tcPr>
          <w:p>
            <w:pPr>
              <w:spacing w:after="20"/>
            </w:pPr>
            <w:r>
              <w:rPr>
                <w:sz w:val="17"/>
              </w:rPr>
              <w:t>The app creates tutor instructions, adds retrieved excerpts if present, then adds the student prompt.</w:t>
            </w:r>
          </w:p>
        </w:tc>
        <w:tc>
          <w:tcPr>
            <w:tcW w:type="dxa" w:w="3312"/>
            <w:vAlign w:val="center"/>
            <w:tcMar>
              <w:top w:w="100" w:type="dxa"/>
              <w:start w:w="120" w:type="dxa"/>
              <w:bottom w:w="100" w:type="dxa"/>
              <w:end w:w="120" w:type="dxa"/>
            </w:tcMar>
          </w:tcPr>
          <w:p>
            <w:pPr>
              <w:spacing w:after="20"/>
            </w:pPr>
            <w:r>
              <w:rPr>
                <w:sz w:val="17"/>
              </w:rPr>
              <w:t>Context is supplied as reference material, not as a guaranteed answer.</w:t>
            </w:r>
          </w:p>
        </w:tc>
      </w:tr>
      <w:tr>
        <w:tc>
          <w:tcPr>
            <w:tcW w:type="dxa" w:w="1584"/>
            <w:vAlign w:val="center"/>
            <w:shd w:fill="F1F5F9"/>
            <w:tcMar>
              <w:top w:w="100" w:type="dxa"/>
              <w:start w:w="120" w:type="dxa"/>
              <w:bottom w:w="100" w:type="dxa"/>
              <w:end w:w="120" w:type="dxa"/>
            </w:tcMar>
          </w:tcPr>
          <w:p>
            <w:pPr>
              <w:spacing w:after="20"/>
            </w:pPr>
            <w:r>
              <w:rPr>
                <w:sz w:val="17"/>
              </w:rPr>
              <w:t>4. Generate</w:t>
            </w:r>
          </w:p>
        </w:tc>
        <w:tc>
          <w:tcPr>
            <w:tcW w:type="dxa" w:w="4608"/>
            <w:vAlign w:val="center"/>
            <w:shd w:fill="F1F5F9"/>
            <w:tcMar>
              <w:top w:w="100" w:type="dxa"/>
              <w:start w:w="120" w:type="dxa"/>
              <w:bottom w:w="100" w:type="dxa"/>
              <w:end w:w="120" w:type="dxa"/>
            </w:tcMar>
          </w:tcPr>
          <w:p>
            <w:pPr>
              <w:spacing w:after="20"/>
            </w:pPr>
            <w:r>
              <w:rPr>
                <w:sz w:val="17"/>
              </w:rPr>
              <w:t>The Groq SDK calls the configured Groq model (default llama-3.3-70b-versatile) with temperature 0.4 and up to 2,048 tokens.</w:t>
            </w:r>
          </w:p>
        </w:tc>
        <w:tc>
          <w:tcPr>
            <w:tcW w:type="dxa" w:w="3312"/>
            <w:vAlign w:val="center"/>
            <w:shd w:fill="F1F5F9"/>
            <w:tcMar>
              <w:top w:w="100" w:type="dxa"/>
              <w:start w:w="120" w:type="dxa"/>
              <w:bottom w:w="100" w:type="dxa"/>
              <w:end w:w="120" w:type="dxa"/>
            </w:tcMar>
          </w:tcPr>
          <w:p>
            <w:pPr>
              <w:spacing w:after="20"/>
            </w:pPr>
            <w:r>
              <w:rPr>
                <w:sz w:val="17"/>
              </w:rPr>
              <w:t>The hosted LLM writes the explanation; it is not the local logistic-regression model.</w:t>
            </w:r>
          </w:p>
        </w:tc>
      </w:tr>
      <w:tr>
        <w:tc>
          <w:tcPr>
            <w:tcW w:type="dxa" w:w="1584"/>
            <w:vAlign w:val="center"/>
            <w:tcMar>
              <w:top w:w="100" w:type="dxa"/>
              <w:start w:w="120" w:type="dxa"/>
              <w:bottom w:w="100" w:type="dxa"/>
              <w:end w:w="120" w:type="dxa"/>
            </w:tcMar>
          </w:tcPr>
          <w:p>
            <w:pPr>
              <w:spacing w:after="20"/>
            </w:pPr>
            <w:r>
              <w:rPr>
                <w:sz w:val="17"/>
              </w:rPr>
              <w:t>5. Show result</w:t>
            </w:r>
          </w:p>
        </w:tc>
        <w:tc>
          <w:tcPr>
            <w:tcW w:type="dxa" w:w="4608"/>
            <w:vAlign w:val="center"/>
            <w:tcMar>
              <w:top w:w="100" w:type="dxa"/>
              <w:start w:w="120" w:type="dxa"/>
              <w:bottom w:w="100" w:type="dxa"/>
              <w:end w:w="120" w:type="dxa"/>
            </w:tcMar>
          </w:tcPr>
          <w:p>
            <w:pPr>
              <w:spacing w:after="20"/>
            </w:pPr>
            <w:r>
              <w:rPr>
                <w:sz w:val="17"/>
              </w:rPr>
              <w:t>Streamlit displays the answer and, when available, a list of project references.</w:t>
            </w:r>
          </w:p>
        </w:tc>
        <w:tc>
          <w:tcPr>
            <w:tcW w:type="dxa" w:w="3312"/>
            <w:vAlign w:val="center"/>
            <w:tcMar>
              <w:top w:w="100" w:type="dxa"/>
              <w:start w:w="120" w:type="dxa"/>
              <w:bottom w:w="100" w:type="dxa"/>
              <w:end w:w="120" w:type="dxa"/>
            </w:tcMar>
          </w:tcPr>
          <w:p>
            <w:pPr>
              <w:spacing w:after="20"/>
            </w:pPr>
            <w:r>
              <w:rPr>
                <w:sz w:val="17"/>
              </w:rPr>
              <w:t>If retrieval is down, the app can still answer without project context.</w:t>
            </w:r>
          </w:p>
        </w:tc>
      </w:tr>
    </w:tbl>
    <w:p>
      <w:pPr>
        <w:spacing w:after="20"/>
      </w:pPr>
    </w:p>
    <w:p>
      <w:r>
        <w:t>The API key is read from the environment or a local .env file. It is an access credential, not training data. The prompt and selected difficulty are sent to the external Groq service to generate the response. The checked-in app code does not show a learner-history database, session personalization store, or automatic difficulty adaptation; the chosen difficulty is a user input for the current request.</w:t>
      </w:r>
    </w:p>
    <w:p>
      <w:pPr>
        <w:pStyle w:val="Heading2"/>
        <w:keepNext/>
      </w:pPr>
      <w:r>
        <w:t>Failure behavior</w:t>
      </w:r>
    </w:p>
    <w:p>
      <w:pPr>
        <w:pStyle w:val="ListBullet"/>
        <w:spacing w:after="60"/>
      </w:pPr>
      <w:r>
        <w:t>Missing API key: the app shows a configuration message instead of making the Groq call.</w:t>
      </w:r>
    </w:p>
    <w:p>
      <w:pPr>
        <w:pStyle w:val="ListBullet"/>
        <w:spacing w:after="60"/>
      </w:pPr>
      <w:r>
        <w:t>Retrieval failure: tutoring continues without project references and the UI explains that the local index was unavailable.</w:t>
      </w:r>
    </w:p>
    <w:p>
      <w:pPr>
        <w:pStyle w:val="ListBullet"/>
        <w:spacing w:after="60"/>
      </w:pPr>
      <w:r>
        <w:t>No matching records: the LLM still answers, but the app says no project references matched.</w:t>
      </w:r>
    </w:p>
    <w:p>
      <w:pPr>
        <w:pStyle w:val="ListBullet"/>
        <w:spacing w:after="60"/>
      </w:pPr>
      <w:r>
        <w:t>Groq/network error: the app surfaces an error to the user.</w:t>
      </w:r>
    </w:p>
    <w:p>
      <w:pPr>
        <w:pStyle w:val="Heading2"/>
        <w:keepNext/>
      </w:pPr>
      <w:r>
        <w:t>Rebuild and run commands in the repository README</w:t>
      </w:r>
    </w:p>
    <w:p>
      <w:r>
        <w:t>The documented sequence is: install requirements, run dvc pull data/processed.dvc, start Chroma with docker compose up -d chroma, build the NCERT and JEE indexes with their Python modules, then launch streamlit run app.py. The app requires a valid Groq API key. These commands describe the intended setup; a fresh environment may require DVC remote access and the downloaded content files.</w:t>
      </w:r>
    </w:p>
    <w:p>
      <w:pPr>
        <w:pStyle w:val="Heading1"/>
        <w:keepNext/>
      </w:pPr>
      <w:r>
        <w:t>6. The separate Track B MLOps experiment</w:t>
      </w:r>
    </w:p>
    <w:p>
      <w:r>
        <w:t>Track B demonstrates a complete model lifecycle using simulated learner interactions. It is intentionally separate from the tutor’s retrieval and Groq answer generation. Its target is switch_to_lower_difficulty: whether a simulated learner’s next chosen difficulty should be lower than the current selected difficulty.</w:t>
      </w:r>
    </w:p>
    <w:p>
      <w:r>
        <w:t>The baseline scenario config defines 800 simulated learners, 20–50 interactions per learner, a 30% learner-level test split, behavior-pattern proportions, and rules for accuracy, mistakes, hint use, response time, and difficulty choice. Per-topic difficulty priors inform simulation; comments label the behavioral rules as assumptions. Public themes motivate direction, but the resulting records are not measurements of actual students.</w:t>
      </w:r>
    </w:p>
    <w:p>
      <w:pPr>
        <w:pStyle w:val="Heading2"/>
        <w:keepNext/>
      </w:pPr>
      <w:r>
        <w:t>Why split by learner</w:t>
      </w:r>
    </w:p>
    <w:p>
      <w:r>
        <w:t>Each learner contributes multiple interaction rows. If rows from the same learner were divided between training and test, the model could see one person during training and appear to generalize to that same person during testing. Splitting by learner keeps all interactions from each test learner out of training. In this run, 560 learners are used for training and 240 held out for testing.</w:t>
      </w:r>
    </w:p>
    <w:p>
      <w:pPr>
        <w:pStyle w:val="Heading1"/>
        <w:keepNext/>
      </w:pPr>
      <w:r>
        <w:t>7. Track B pipeline stages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7365D"/>
            <w:vAlign w:val="center"/>
            <w:tcMar>
              <w:top w:w="100" w:type="dxa"/>
              <w:start w:w="120" w:type="dxa"/>
              <w:bottom w:w="100" w:type="dxa"/>
              <w:end w:w="120" w:type="dxa"/>
            </w:tcMar>
          </w:tcPr>
          <w:p>
            <w:r>
              <w:rPr>
                <w:b/>
                <w:color w:val="FFFFFF"/>
                <w:sz w:val="18"/>
              </w:rPr>
              <w:t>DVC stage</w:t>
            </w:r>
          </w:p>
        </w:tc>
        <w:tc>
          <w:tcPr>
            <w:tcW w:type="dxa" w:w="2232"/>
            <w:shd w:fill="17365D"/>
            <w:vAlign w:val="center"/>
            <w:tcMar>
              <w:top w:w="100" w:type="dxa"/>
              <w:start w:w="120" w:type="dxa"/>
              <w:bottom w:w="100" w:type="dxa"/>
              <w:end w:w="120" w:type="dxa"/>
            </w:tcMar>
          </w:tcPr>
          <w:p>
            <w:r>
              <w:rPr>
                <w:b/>
                <w:color w:val="FFFFFF"/>
                <w:sz w:val="18"/>
              </w:rPr>
              <w:t>Input</w:t>
            </w:r>
          </w:p>
        </w:tc>
        <w:tc>
          <w:tcPr>
            <w:tcW w:type="dxa" w:w="3960"/>
            <w:shd w:fill="17365D"/>
            <w:vAlign w:val="center"/>
            <w:tcMar>
              <w:top w:w="100" w:type="dxa"/>
              <w:start w:w="120" w:type="dxa"/>
              <w:bottom w:w="100" w:type="dxa"/>
              <w:end w:w="120" w:type="dxa"/>
            </w:tcMar>
          </w:tcPr>
          <w:p>
            <w:r>
              <w:rPr>
                <w:b/>
                <w:color w:val="FFFFFF"/>
                <w:sz w:val="18"/>
              </w:rPr>
              <w:t>Action</w:t>
            </w:r>
          </w:p>
        </w:tc>
        <w:tc>
          <w:tcPr>
            <w:tcW w:type="dxa" w:w="1944"/>
            <w:shd w:fill="17365D"/>
            <w:vAlign w:val="center"/>
            <w:tcMar>
              <w:top w:w="100" w:type="dxa"/>
              <w:start w:w="120" w:type="dxa"/>
              <w:bottom w:w="100" w:type="dxa"/>
              <w:end w:w="120" w:type="dxa"/>
            </w:tcMar>
          </w:tcPr>
          <w:p>
            <w:r>
              <w:rPr>
                <w:b/>
                <w:color w:val="FFFFFF"/>
                <w:sz w:val="18"/>
              </w:rPr>
              <w:t>Saved output</w:t>
            </w:r>
          </w:p>
        </w:tc>
      </w:tr>
      <w:tr>
        <w:tc>
          <w:tcPr>
            <w:tcW w:type="dxa" w:w="1800"/>
            <w:vAlign w:val="center"/>
            <w:tcMar>
              <w:top w:w="100" w:type="dxa"/>
              <w:start w:w="120" w:type="dxa"/>
              <w:bottom w:w="100" w:type="dxa"/>
              <w:end w:w="120" w:type="dxa"/>
            </w:tcMar>
          </w:tcPr>
          <w:p>
            <w:pPr>
              <w:spacing w:after="20"/>
            </w:pPr>
            <w:r>
              <w:rPr>
                <w:sz w:val="17"/>
              </w:rPr>
              <w:t>generate_baseline</w:t>
            </w:r>
          </w:p>
        </w:tc>
        <w:tc>
          <w:tcPr>
            <w:tcW w:type="dxa" w:w="2232"/>
            <w:vAlign w:val="center"/>
            <w:tcMar>
              <w:top w:w="100" w:type="dxa"/>
              <w:start w:w="120" w:type="dxa"/>
              <w:bottom w:w="100" w:type="dxa"/>
              <w:end w:w="120" w:type="dxa"/>
            </w:tcMar>
          </w:tcPr>
          <w:p>
            <w:pPr>
              <w:spacing w:after="20"/>
            </w:pPr>
            <w:r>
              <w:rPr>
                <w:sz w:val="17"/>
              </w:rPr>
              <w:t>Scenario YAML and topic priors</w:t>
            </w:r>
          </w:p>
        </w:tc>
        <w:tc>
          <w:tcPr>
            <w:tcW w:type="dxa" w:w="3960"/>
            <w:vAlign w:val="center"/>
            <w:tcMar>
              <w:top w:w="100" w:type="dxa"/>
              <w:start w:w="120" w:type="dxa"/>
              <w:bottom w:w="100" w:type="dxa"/>
              <w:end w:w="120" w:type="dxa"/>
            </w:tcMar>
          </w:tcPr>
          <w:p>
            <w:pPr>
              <w:spacing w:after="20"/>
            </w:pPr>
            <w:r>
              <w:rPr>
                <w:sz w:val="17"/>
              </w:rPr>
              <w:t>Generate baseline synthetic learner rows with a fixed seed; write metadata including learner split.</w:t>
            </w:r>
          </w:p>
        </w:tc>
        <w:tc>
          <w:tcPr>
            <w:tcW w:type="dxa" w:w="1944"/>
            <w:vAlign w:val="center"/>
            <w:tcMar>
              <w:top w:w="100" w:type="dxa"/>
              <w:start w:w="120" w:type="dxa"/>
              <w:bottom w:w="100" w:type="dxa"/>
              <w:end w:w="120" w:type="dxa"/>
            </w:tcMar>
          </w:tcPr>
          <w:p>
            <w:pPr>
              <w:spacing w:after="20"/>
            </w:pPr>
            <w:r>
              <w:rPr>
                <w:sz w:val="17"/>
              </w:rPr>
              <w:t>Baseline CSV and .meta.json</w:t>
            </w:r>
          </w:p>
        </w:tc>
      </w:tr>
      <w:tr>
        <w:tc>
          <w:tcPr>
            <w:tcW w:type="dxa" w:w="1800"/>
            <w:vAlign w:val="center"/>
            <w:shd w:fill="F1F5F9"/>
            <w:tcMar>
              <w:top w:w="100" w:type="dxa"/>
              <w:start w:w="120" w:type="dxa"/>
              <w:bottom w:w="100" w:type="dxa"/>
              <w:end w:w="120" w:type="dxa"/>
            </w:tcMar>
          </w:tcPr>
          <w:p>
            <w:pPr>
              <w:spacing w:after="20"/>
            </w:pPr>
            <w:r>
              <w:rPr>
                <w:sz w:val="17"/>
              </w:rPr>
              <w:t>train_baseline</w:t>
            </w:r>
          </w:p>
        </w:tc>
        <w:tc>
          <w:tcPr>
            <w:tcW w:type="dxa" w:w="2232"/>
            <w:vAlign w:val="center"/>
            <w:shd w:fill="F1F5F9"/>
            <w:tcMar>
              <w:top w:w="100" w:type="dxa"/>
              <w:start w:w="120" w:type="dxa"/>
              <w:bottom w:w="100" w:type="dxa"/>
              <w:end w:w="120" w:type="dxa"/>
            </w:tcMar>
          </w:tcPr>
          <w:p>
            <w:pPr>
              <w:spacing w:after="20"/>
            </w:pPr>
            <w:r>
              <w:rPr>
                <w:sz w:val="17"/>
              </w:rPr>
              <w:t>Baseline CSV and baseline config</w:t>
            </w:r>
          </w:p>
        </w:tc>
        <w:tc>
          <w:tcPr>
            <w:tcW w:type="dxa" w:w="3960"/>
            <w:vAlign w:val="center"/>
            <w:shd w:fill="F1F5F9"/>
            <w:tcMar>
              <w:top w:w="100" w:type="dxa"/>
              <w:start w:w="120" w:type="dxa"/>
              <w:bottom w:w="100" w:type="dxa"/>
              <w:end w:w="120" w:type="dxa"/>
            </w:tcMar>
          </w:tcPr>
          <w:p>
            <w:pPr>
              <w:spacing w:after="20"/>
            </w:pPr>
            <w:r>
              <w:rPr>
                <w:sz w:val="17"/>
              </w:rPr>
              <w:t>Validate schema, train logistic regression and compare to majority-class reference on held-out learners.</w:t>
            </w:r>
          </w:p>
        </w:tc>
        <w:tc>
          <w:tcPr>
            <w:tcW w:type="dxa" w:w="1944"/>
            <w:vAlign w:val="center"/>
            <w:shd w:fill="F1F5F9"/>
            <w:tcMar>
              <w:top w:w="100" w:type="dxa"/>
              <w:start w:w="120" w:type="dxa"/>
              <w:bottom w:w="100" w:type="dxa"/>
              <w:end w:w="120" w:type="dxa"/>
            </w:tcMar>
          </w:tcPr>
          <w:p>
            <w:pPr>
              <w:spacing w:after="20"/>
            </w:pPr>
            <w:r>
              <w:rPr>
                <w:sz w:val="17"/>
              </w:rPr>
              <w:t>Baseline model, model card, evaluation JSON</w:t>
            </w:r>
          </w:p>
        </w:tc>
      </w:tr>
      <w:tr>
        <w:tc>
          <w:tcPr>
            <w:tcW w:type="dxa" w:w="1800"/>
            <w:vAlign w:val="center"/>
            <w:tcMar>
              <w:top w:w="100" w:type="dxa"/>
              <w:start w:w="120" w:type="dxa"/>
              <w:bottom w:w="100" w:type="dxa"/>
              <w:end w:w="120" w:type="dxa"/>
            </w:tcMar>
          </w:tcPr>
          <w:p>
            <w:pPr>
              <w:spacing w:after="20"/>
            </w:pPr>
            <w:r>
              <w:rPr>
                <w:sz w:val="17"/>
              </w:rPr>
              <w:t>generate_shifted</w:t>
            </w:r>
          </w:p>
        </w:tc>
        <w:tc>
          <w:tcPr>
            <w:tcW w:type="dxa" w:w="2232"/>
            <w:vAlign w:val="center"/>
            <w:tcMar>
              <w:top w:w="100" w:type="dxa"/>
              <w:start w:w="120" w:type="dxa"/>
              <w:bottom w:w="100" w:type="dxa"/>
              <w:end w:w="120" w:type="dxa"/>
            </w:tcMar>
          </w:tcPr>
          <w:p>
            <w:pPr>
              <w:spacing w:after="20"/>
            </w:pPr>
            <w:r>
              <w:rPr>
                <w:sz w:val="17"/>
              </w:rPr>
              <w:t>Baseline rules plus drift overrides</w:t>
            </w:r>
          </w:p>
        </w:tc>
        <w:tc>
          <w:tcPr>
            <w:tcW w:type="dxa" w:w="3960"/>
            <w:vAlign w:val="center"/>
            <w:tcMar>
              <w:top w:w="100" w:type="dxa"/>
              <w:start w:w="120" w:type="dxa"/>
              <w:bottom w:w="100" w:type="dxa"/>
              <w:end w:w="120" w:type="dxa"/>
            </w:tcMar>
          </w:tcPr>
          <w:p>
            <w:pPr>
              <w:spacing w:after="20"/>
            </w:pPr>
            <w:r>
              <w:rPr>
                <w:sz w:val="17"/>
              </w:rPr>
              <w:t>Generate a new synthetic population: more hint-reliant learners and six harder chapters.</w:t>
            </w:r>
          </w:p>
        </w:tc>
        <w:tc>
          <w:tcPr>
            <w:tcW w:type="dxa" w:w="1944"/>
            <w:vAlign w:val="center"/>
            <w:tcMar>
              <w:top w:w="100" w:type="dxa"/>
              <w:start w:w="120" w:type="dxa"/>
              <w:bottom w:w="100" w:type="dxa"/>
              <w:end w:w="120" w:type="dxa"/>
            </w:tcMar>
          </w:tcPr>
          <w:p>
            <w:pPr>
              <w:spacing w:after="20"/>
            </w:pPr>
            <w:r>
              <w:rPr>
                <w:sz w:val="17"/>
              </w:rPr>
              <w:t>Shifted CSV and .meta.json</w:t>
            </w:r>
          </w:p>
        </w:tc>
      </w:tr>
      <w:tr>
        <w:tc>
          <w:tcPr>
            <w:tcW w:type="dxa" w:w="1800"/>
            <w:vAlign w:val="center"/>
            <w:shd w:fill="F1F5F9"/>
            <w:tcMar>
              <w:top w:w="100" w:type="dxa"/>
              <w:start w:w="120" w:type="dxa"/>
              <w:bottom w:w="100" w:type="dxa"/>
              <w:end w:w="120" w:type="dxa"/>
            </w:tcMar>
          </w:tcPr>
          <w:p>
            <w:pPr>
              <w:spacing w:after="20"/>
            </w:pPr>
            <w:r>
              <w:rPr>
                <w:sz w:val="17"/>
              </w:rPr>
              <w:t>evaluate_drift</w:t>
            </w:r>
          </w:p>
        </w:tc>
        <w:tc>
          <w:tcPr>
            <w:tcW w:type="dxa" w:w="2232"/>
            <w:vAlign w:val="center"/>
            <w:shd w:fill="F1F5F9"/>
            <w:tcMar>
              <w:top w:w="100" w:type="dxa"/>
              <w:start w:w="120" w:type="dxa"/>
              <w:bottom w:w="100" w:type="dxa"/>
              <w:end w:w="120" w:type="dxa"/>
            </w:tcMar>
          </w:tcPr>
          <w:p>
            <w:pPr>
              <w:spacing w:after="20"/>
            </w:pPr>
            <w:r>
              <w:rPr>
                <w:sz w:val="17"/>
              </w:rPr>
              <w:t>Baseline and shifted data plus baseline model</w:t>
            </w:r>
          </w:p>
        </w:tc>
        <w:tc>
          <w:tcPr>
            <w:tcW w:type="dxa" w:w="3960"/>
            <w:vAlign w:val="center"/>
            <w:shd w:fill="F1F5F9"/>
            <w:tcMar>
              <w:top w:w="100" w:type="dxa"/>
              <w:start w:w="120" w:type="dxa"/>
              <w:bottom w:w="100" w:type="dxa"/>
              <w:end w:w="120" w:type="dxa"/>
            </w:tcMar>
          </w:tcPr>
          <w:p>
            <w:pPr>
              <w:spacing w:after="20"/>
            </w:pPr>
            <w:r>
              <w:rPr>
                <w:sz w:val="17"/>
              </w:rPr>
              <w:t>Measure feature-distribution differences and baseline performance on the shifted test learners.</w:t>
            </w:r>
          </w:p>
        </w:tc>
        <w:tc>
          <w:tcPr>
            <w:tcW w:type="dxa" w:w="1944"/>
            <w:vAlign w:val="center"/>
            <w:shd w:fill="F1F5F9"/>
            <w:tcMar>
              <w:top w:w="100" w:type="dxa"/>
              <w:start w:w="120" w:type="dxa"/>
              <w:bottom w:w="100" w:type="dxa"/>
              <w:end w:w="120" w:type="dxa"/>
            </w:tcMar>
          </w:tcPr>
          <w:p>
            <w:pPr>
              <w:spacing w:after="20"/>
            </w:pPr>
            <w:r>
              <w:rPr>
                <w:sz w:val="17"/>
              </w:rPr>
              <w:t>Drift report and shifted evaluation</w:t>
            </w:r>
          </w:p>
        </w:tc>
      </w:tr>
      <w:tr>
        <w:tc>
          <w:tcPr>
            <w:tcW w:type="dxa" w:w="1800"/>
            <w:vAlign w:val="center"/>
            <w:tcMar>
              <w:top w:w="100" w:type="dxa"/>
              <w:start w:w="120" w:type="dxa"/>
              <w:bottom w:w="100" w:type="dxa"/>
              <w:end w:w="120" w:type="dxa"/>
            </w:tcMar>
          </w:tcPr>
          <w:p>
            <w:pPr>
              <w:spacing w:after="20"/>
            </w:pPr>
            <w:r>
              <w:rPr>
                <w:sz w:val="17"/>
              </w:rPr>
              <w:t>train_candidate</w:t>
            </w:r>
          </w:p>
        </w:tc>
        <w:tc>
          <w:tcPr>
            <w:tcW w:type="dxa" w:w="2232"/>
            <w:vAlign w:val="center"/>
            <w:tcMar>
              <w:top w:w="100" w:type="dxa"/>
              <w:start w:w="120" w:type="dxa"/>
              <w:bottom w:w="100" w:type="dxa"/>
              <w:end w:w="120" w:type="dxa"/>
            </w:tcMar>
          </w:tcPr>
          <w:p>
            <w:pPr>
              <w:spacing w:after="20"/>
            </w:pPr>
            <w:r>
              <w:rPr>
                <w:sz w:val="17"/>
              </w:rPr>
              <w:t>Shifted training learners plus original baseline</w:t>
            </w:r>
          </w:p>
        </w:tc>
        <w:tc>
          <w:tcPr>
            <w:tcW w:type="dxa" w:w="3960"/>
            <w:vAlign w:val="center"/>
            <w:tcMar>
              <w:top w:w="100" w:type="dxa"/>
              <w:start w:w="120" w:type="dxa"/>
              <w:bottom w:w="100" w:type="dxa"/>
              <w:end w:w="120" w:type="dxa"/>
            </w:tcMar>
          </w:tcPr>
          <w:p>
            <w:pPr>
              <w:spacing w:after="20"/>
            </w:pPr>
            <w:r>
              <w:rPr>
                <w:sz w:val="17"/>
              </w:rPr>
              <w:t>Fit a candidate of the same model family; score both versions on fixed test learners.</w:t>
            </w:r>
          </w:p>
        </w:tc>
        <w:tc>
          <w:tcPr>
            <w:tcW w:type="dxa" w:w="1944"/>
            <w:vAlign w:val="center"/>
            <w:tcMar>
              <w:top w:w="100" w:type="dxa"/>
              <w:start w:w="120" w:type="dxa"/>
              <w:bottom w:w="100" w:type="dxa"/>
              <w:end w:w="120" w:type="dxa"/>
            </w:tcMar>
          </w:tcPr>
          <w:p>
            <w:pPr>
              <w:spacing w:after="20"/>
            </w:pPr>
            <w:r>
              <w:rPr>
                <w:sz w:val="17"/>
              </w:rPr>
              <w:t>Candidate model/card and comparison JSON</w:t>
            </w:r>
          </w:p>
        </w:tc>
      </w:tr>
      <w:tr>
        <w:tc>
          <w:tcPr>
            <w:tcW w:type="dxa" w:w="1800"/>
            <w:vAlign w:val="center"/>
            <w:shd w:fill="F1F5F9"/>
            <w:tcMar>
              <w:top w:w="100" w:type="dxa"/>
              <w:start w:w="120" w:type="dxa"/>
              <w:bottom w:w="100" w:type="dxa"/>
              <w:end w:w="120" w:type="dxa"/>
            </w:tcMar>
          </w:tcPr>
          <w:p>
            <w:pPr>
              <w:spacing w:after="20"/>
            </w:pPr>
            <w:r>
              <w:rPr>
                <w:sz w:val="17"/>
              </w:rPr>
              <w:t>promotion_gate</w:t>
            </w:r>
          </w:p>
        </w:tc>
        <w:tc>
          <w:tcPr>
            <w:tcW w:type="dxa" w:w="2232"/>
            <w:vAlign w:val="center"/>
            <w:shd w:fill="F1F5F9"/>
            <w:tcMar>
              <w:top w:w="100" w:type="dxa"/>
              <w:start w:w="120" w:type="dxa"/>
              <w:bottom w:w="100" w:type="dxa"/>
              <w:end w:w="120" w:type="dxa"/>
            </w:tcMar>
          </w:tcPr>
          <w:p>
            <w:pPr>
              <w:spacing w:after="20"/>
            </w:pPr>
            <w:r>
              <w:rPr>
                <w:sz w:val="17"/>
              </w:rPr>
              <w:t>Candidate comparison, model card, fixed gate YAML</w:t>
            </w:r>
          </w:p>
        </w:tc>
        <w:tc>
          <w:tcPr>
            <w:tcW w:type="dxa" w:w="3960"/>
            <w:vAlign w:val="center"/>
            <w:shd w:fill="F1F5F9"/>
            <w:tcMar>
              <w:top w:w="100" w:type="dxa"/>
              <w:start w:w="120" w:type="dxa"/>
              <w:bottom w:w="100" w:type="dxa"/>
              <w:end w:w="120" w:type="dxa"/>
            </w:tcMar>
          </w:tcPr>
          <w:p>
            <w:pPr>
              <w:spacing w:after="20"/>
            </w:pPr>
            <w:r>
              <w:rPr>
                <w:sz w:val="17"/>
              </w:rPr>
              <w:t>Recheck data integrity and compare all mandatory criteria.</w:t>
            </w:r>
          </w:p>
        </w:tc>
        <w:tc>
          <w:tcPr>
            <w:tcW w:type="dxa" w:w="1944"/>
            <w:vAlign w:val="center"/>
            <w:shd w:fill="F1F5F9"/>
            <w:tcMar>
              <w:top w:w="100" w:type="dxa"/>
              <w:start w:w="120" w:type="dxa"/>
              <w:bottom w:w="100" w:type="dxa"/>
              <w:end w:w="120" w:type="dxa"/>
            </w:tcMar>
          </w:tcPr>
          <w:p>
            <w:pPr>
              <w:spacing w:after="20"/>
            </w:pPr>
            <w:r>
              <w:rPr>
                <w:sz w:val="17"/>
              </w:rPr>
              <w:t>Promotion decision JSON</w:t>
            </w:r>
          </w:p>
        </w:tc>
      </w:tr>
    </w:tbl>
    <w:p>
      <w:pPr>
        <w:spacing w:after="20"/>
      </w:pPr>
    </w:p>
    <w:p>
      <w:r>
        <w:t>DVC builds a dependency graph from these stages. If a dependency changes, the affected downstream stages can be rerun with dvc repro. The pipeline records commands, dependencies, and outputs in dvc.yaml and dvc.lock. Fixed random seeds, data/config hashes, Git commit IDs, and model cards make the run inspectable. The gate is version controlled, and the decision report verifies it was committed before candidate training and remained unmodified.</w:t>
      </w:r>
    </w:p>
    <w:p>
      <w:pPr>
        <w:pStyle w:val="Heading2"/>
        <w:keepNext/>
      </w:pPr>
      <w:r>
        <w:t>What the classifier learns</w:t>
      </w:r>
    </w:p>
    <w:p>
      <w:r>
        <w:t>The model is scikit-learn logistic regression with class_weight=balanced because “switch down” is a minority outcome. Its input fields include topic, selected and previous difficulty, recent accuracy, mistake count, hint count, response time, and prior interaction count. The target is the simulated switch-down label. A 0.5 probability threshold converts the score into a predicted class. Feature columns are checked to exclude prohibited/leaky fields.</w:t>
      </w:r>
    </w:p>
    <w:p>
      <w:pPr>
        <w:pStyle w:val="Heading2"/>
        <w:keepNext/>
      </w:pPr>
      <w:r>
        <w:t>Evaluation metrics in plain language</w:t>
      </w:r>
    </w:p>
    <w:p>
      <w:pPr>
        <w:pStyle w:val="ListBullet"/>
        <w:spacing w:after="60"/>
      </w:pPr>
      <w:r>
        <w:t>Precision: among interactions predicted as “switch down,” the share that truly have that label.</w:t>
      </w:r>
    </w:p>
    <w:p>
      <w:pPr>
        <w:pStyle w:val="ListBullet"/>
        <w:spacing w:after="60"/>
      </w:pPr>
      <w:r>
        <w:t>Recall: among true “switch down” interactions, the share the model finds.</w:t>
      </w:r>
    </w:p>
    <w:p>
      <w:pPr>
        <w:pStyle w:val="ListBullet"/>
        <w:spacing w:after="60"/>
      </w:pPr>
      <w:r>
        <w:t>F1: one summary balancing precision and recall; useful when labels are imbalanced.</w:t>
      </w:r>
    </w:p>
    <w:p>
      <w:pPr>
        <w:pStyle w:val="ListBullet"/>
        <w:spacing w:after="60"/>
      </w:pPr>
      <w:r>
        <w:t>ROC-AUC: how well the model ranks positive examples above negative ones across thresholds; it does not choose the operating threshold.</w:t>
      </w:r>
    </w:p>
    <w:p>
      <w:pPr>
        <w:pStyle w:val="ListBullet"/>
        <w:spacing w:after="60"/>
      </w:pPr>
      <w:r>
        <w:t>Accuracy alone can mislead: always predicting “no switch” reaches about 83% accuracy in the original test set but has F1 = 0 for the positive class.</w:t>
      </w:r>
    </w:p>
    <w:p>
      <w:pPr>
        <w:pStyle w:val="Heading1"/>
        <w:keepNext/>
      </w:pPr>
      <w:r>
        <w:t>8. Drift, candidate training, and promotion</w:t>
      </w:r>
    </w:p>
    <w:p>
      <w:r>
        <w:t>The shifted scenario deliberately changes two things: hint-reliant learners rise from 15% to 45%, and six multistep chapters receive a higher difficulty score and lower simulated success. A new seed generates independent synthetic learners. This controlled shift tests whether the pipeline notices changed data and whether retraining improves outcomes.</w:t>
      </w:r>
    </w:p>
    <w:p>
      <w:r>
        <w:t>The drift report compares feature distributions separately from model performance. For numeric features, PSI compares proportions across reference-based bins and the Kolmogorov–Smirnov test compares distributions. For categories, PSI compares category proportions. PSI threshold 0.2 is an alert threshold, not the model-promotion criterion. The report finds hint count mean increased from 0.5339 to 0.7594; its KS test is significant, but PSI is only 0.0564 and no feature exceeds 0.2. Target prevalence is nearly unchanged. Drift is evidence that inputs moved; it does not by itself prove the model became worse.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5040"/>
            <w:shd w:fill="17365D"/>
            <w:vAlign w:val="center"/>
            <w:tcMar>
              <w:top w:w="100" w:type="dxa"/>
              <w:start w:w="120" w:type="dxa"/>
              <w:bottom w:w="100" w:type="dxa"/>
              <w:end w:w="120" w:type="dxa"/>
            </w:tcMar>
          </w:tcPr>
          <w:p>
            <w:r>
              <w:rPr>
                <w:b/>
                <w:color w:val="FFFFFF"/>
                <w:sz w:val="18"/>
              </w:rPr>
              <w:t>Model and test population</w:t>
            </w:r>
          </w:p>
        </w:tc>
        <w:tc>
          <w:tcPr>
            <w:tcW w:type="dxa" w:w="1584"/>
            <w:shd w:fill="17365D"/>
            <w:vAlign w:val="center"/>
            <w:tcMar>
              <w:top w:w="100" w:type="dxa"/>
              <w:start w:w="120" w:type="dxa"/>
              <w:bottom w:w="100" w:type="dxa"/>
              <w:end w:w="120" w:type="dxa"/>
            </w:tcMar>
          </w:tcPr>
          <w:p>
            <w:r>
              <w:rPr>
                <w:b/>
                <w:color w:val="FFFFFF"/>
                <w:sz w:val="18"/>
              </w:rPr>
              <w:t>F1</w:t>
            </w:r>
          </w:p>
        </w:tc>
        <w:tc>
          <w:tcPr>
            <w:tcW w:type="dxa" w:w="1872"/>
            <w:shd w:fill="17365D"/>
            <w:vAlign w:val="center"/>
            <w:tcMar>
              <w:top w:w="100" w:type="dxa"/>
              <w:start w:w="120" w:type="dxa"/>
              <w:bottom w:w="100" w:type="dxa"/>
              <w:end w:w="120" w:type="dxa"/>
            </w:tcMar>
          </w:tcPr>
          <w:p>
            <w:r>
              <w:rPr>
                <w:b/>
                <w:color w:val="FFFFFF"/>
                <w:sz w:val="18"/>
              </w:rPr>
              <w:t>ROC-AUC</w:t>
            </w:r>
          </w:p>
        </w:tc>
      </w:tr>
      <w:tr>
        <w:tc>
          <w:tcPr>
            <w:tcW w:type="dxa" w:w="5040"/>
            <w:vAlign w:val="center"/>
            <w:tcMar>
              <w:top w:w="100" w:type="dxa"/>
              <w:start w:w="120" w:type="dxa"/>
              <w:bottom w:w="100" w:type="dxa"/>
              <w:end w:w="120" w:type="dxa"/>
            </w:tcMar>
          </w:tcPr>
          <w:p>
            <w:pPr>
              <w:spacing w:after="20"/>
            </w:pPr>
            <w:r>
              <w:rPr>
                <w:sz w:val="17"/>
              </w:rPr>
              <w:t>Baseline on original held-out learners</w:t>
            </w:r>
          </w:p>
        </w:tc>
        <w:tc>
          <w:tcPr>
            <w:tcW w:type="dxa" w:w="1584"/>
            <w:vAlign w:val="center"/>
            <w:tcMar>
              <w:top w:w="100" w:type="dxa"/>
              <w:start w:w="120" w:type="dxa"/>
              <w:bottom w:w="100" w:type="dxa"/>
              <w:end w:w="120" w:type="dxa"/>
            </w:tcMar>
          </w:tcPr>
          <w:p>
            <w:pPr>
              <w:spacing w:after="20"/>
            </w:pPr>
            <w:r>
              <w:rPr>
                <w:sz w:val="17"/>
              </w:rPr>
              <w:t>0.5908</w:t>
            </w:r>
          </w:p>
        </w:tc>
        <w:tc>
          <w:tcPr>
            <w:tcW w:type="dxa" w:w="1872"/>
            <w:vAlign w:val="center"/>
            <w:tcMar>
              <w:top w:w="100" w:type="dxa"/>
              <w:start w:w="120" w:type="dxa"/>
              <w:bottom w:w="100" w:type="dxa"/>
              <w:end w:w="120" w:type="dxa"/>
            </w:tcMar>
          </w:tcPr>
          <w:p>
            <w:pPr>
              <w:spacing w:after="20"/>
            </w:pPr>
            <w:r>
              <w:rPr>
                <w:sz w:val="17"/>
              </w:rPr>
              <w:t>0.8972</w:t>
            </w:r>
          </w:p>
        </w:tc>
      </w:tr>
      <w:tr>
        <w:tc>
          <w:tcPr>
            <w:tcW w:type="dxa" w:w="5040"/>
            <w:vAlign w:val="center"/>
            <w:shd w:fill="F1F5F9"/>
            <w:tcMar>
              <w:top w:w="100" w:type="dxa"/>
              <w:start w:w="120" w:type="dxa"/>
              <w:bottom w:w="100" w:type="dxa"/>
              <w:end w:w="120" w:type="dxa"/>
            </w:tcMar>
          </w:tcPr>
          <w:p>
            <w:pPr>
              <w:spacing w:after="20"/>
            </w:pPr>
            <w:r>
              <w:rPr>
                <w:sz w:val="17"/>
              </w:rPr>
              <w:t>Baseline on shifted held-out learners</w:t>
            </w:r>
          </w:p>
        </w:tc>
        <w:tc>
          <w:tcPr>
            <w:tcW w:type="dxa" w:w="1584"/>
            <w:vAlign w:val="center"/>
            <w:shd w:fill="F1F5F9"/>
            <w:tcMar>
              <w:top w:w="100" w:type="dxa"/>
              <w:start w:w="120" w:type="dxa"/>
              <w:bottom w:w="100" w:type="dxa"/>
              <w:end w:w="120" w:type="dxa"/>
            </w:tcMar>
          </w:tcPr>
          <w:p>
            <w:pPr>
              <w:spacing w:after="20"/>
            </w:pPr>
            <w:r>
              <w:rPr>
                <w:sz w:val="17"/>
              </w:rPr>
              <w:t>0.5427</w:t>
            </w:r>
          </w:p>
        </w:tc>
        <w:tc>
          <w:tcPr>
            <w:tcW w:type="dxa" w:w="1872"/>
            <w:vAlign w:val="center"/>
            <w:shd w:fill="F1F5F9"/>
            <w:tcMar>
              <w:top w:w="100" w:type="dxa"/>
              <w:start w:w="120" w:type="dxa"/>
              <w:bottom w:w="100" w:type="dxa"/>
              <w:end w:w="120" w:type="dxa"/>
            </w:tcMar>
          </w:tcPr>
          <w:p>
            <w:pPr>
              <w:spacing w:after="20"/>
            </w:pPr>
            <w:r>
              <w:rPr>
                <w:sz w:val="17"/>
              </w:rPr>
              <w:t>0.8793</w:t>
            </w:r>
          </w:p>
        </w:tc>
      </w:tr>
      <w:tr>
        <w:tc>
          <w:tcPr>
            <w:tcW w:type="dxa" w:w="5040"/>
            <w:vAlign w:val="center"/>
            <w:tcMar>
              <w:top w:w="100" w:type="dxa"/>
              <w:start w:w="120" w:type="dxa"/>
              <w:bottom w:w="100" w:type="dxa"/>
              <w:end w:w="120" w:type="dxa"/>
            </w:tcMar>
          </w:tcPr>
          <w:p>
            <w:pPr>
              <w:spacing w:after="20"/>
            </w:pPr>
            <w:r>
              <w:rPr>
                <w:sz w:val="17"/>
              </w:rPr>
              <w:t>Candidate on shifted held-out learners</w:t>
            </w:r>
          </w:p>
        </w:tc>
        <w:tc>
          <w:tcPr>
            <w:tcW w:type="dxa" w:w="1584"/>
            <w:vAlign w:val="center"/>
            <w:tcMar>
              <w:top w:w="100" w:type="dxa"/>
              <w:start w:w="120" w:type="dxa"/>
              <w:bottom w:w="100" w:type="dxa"/>
              <w:end w:w="120" w:type="dxa"/>
            </w:tcMar>
          </w:tcPr>
          <w:p>
            <w:pPr>
              <w:spacing w:after="20"/>
            </w:pPr>
            <w:r>
              <w:rPr>
                <w:sz w:val="17"/>
              </w:rPr>
              <w:t>0.5381</w:t>
            </w:r>
          </w:p>
        </w:tc>
        <w:tc>
          <w:tcPr>
            <w:tcW w:type="dxa" w:w="1872"/>
            <w:vAlign w:val="center"/>
            <w:tcMar>
              <w:top w:w="100" w:type="dxa"/>
              <w:start w:w="120" w:type="dxa"/>
              <w:bottom w:w="100" w:type="dxa"/>
              <w:end w:w="120" w:type="dxa"/>
            </w:tcMar>
          </w:tcPr>
          <w:p>
            <w:pPr>
              <w:spacing w:after="20"/>
            </w:pPr>
            <w:r>
              <w:rPr>
                <w:sz w:val="17"/>
              </w:rPr>
              <w:t>0.8779</w:t>
            </w:r>
          </w:p>
        </w:tc>
      </w:tr>
      <w:tr>
        <w:tc>
          <w:tcPr>
            <w:tcW w:type="dxa" w:w="5040"/>
            <w:vAlign w:val="center"/>
            <w:shd w:fill="F1F5F9"/>
            <w:tcMar>
              <w:top w:w="100" w:type="dxa"/>
              <w:start w:w="120" w:type="dxa"/>
              <w:bottom w:w="100" w:type="dxa"/>
              <w:end w:w="120" w:type="dxa"/>
            </w:tcMar>
          </w:tcPr>
          <w:p>
            <w:pPr>
              <w:spacing w:after="20"/>
            </w:pPr>
            <w:r>
              <w:rPr>
                <w:sz w:val="17"/>
              </w:rPr>
              <w:t>Candidate on original held-out learners</w:t>
            </w:r>
          </w:p>
        </w:tc>
        <w:tc>
          <w:tcPr>
            <w:tcW w:type="dxa" w:w="1584"/>
            <w:vAlign w:val="center"/>
            <w:shd w:fill="F1F5F9"/>
            <w:tcMar>
              <w:top w:w="100" w:type="dxa"/>
              <w:start w:w="120" w:type="dxa"/>
              <w:bottom w:w="100" w:type="dxa"/>
              <w:end w:w="120" w:type="dxa"/>
            </w:tcMar>
          </w:tcPr>
          <w:p>
            <w:pPr>
              <w:spacing w:after="20"/>
            </w:pPr>
            <w:r>
              <w:rPr>
                <w:sz w:val="17"/>
              </w:rPr>
              <w:t>0.5725</w:t>
            </w:r>
          </w:p>
        </w:tc>
        <w:tc>
          <w:tcPr>
            <w:tcW w:type="dxa" w:w="1872"/>
            <w:vAlign w:val="center"/>
            <w:shd w:fill="F1F5F9"/>
            <w:tcMar>
              <w:top w:w="100" w:type="dxa"/>
              <w:start w:w="120" w:type="dxa"/>
              <w:bottom w:w="100" w:type="dxa"/>
              <w:end w:w="120" w:type="dxa"/>
            </w:tcMar>
          </w:tcPr>
          <w:p>
            <w:pPr>
              <w:spacing w:after="20"/>
            </w:pPr>
            <w:r>
              <w:rPr>
                <w:sz w:val="17"/>
              </w:rPr>
              <w:t>0.8937</w:t>
            </w:r>
          </w:p>
        </w:tc>
      </w:tr>
    </w:tbl>
    <w:p>
      <w:pPr>
        <w:spacing w:after="20"/>
      </w:pPr>
    </w:p>
    <w:p>
      <w:r>
        <w:t>The old model’s F1 drops by 0.0481 on shifted learners. The candidate is retrained on shifted training learners but tested on the same fixed shifted learners as the baseline, so the comparison is fair. It does not improve: candidate F1 is 0.0046 lower than baseline on shifted test learners.</w:t>
      </w:r>
    </w:p>
    <w:p>
      <w:r>
        <w:t>The precommitted gate requires candidate shifted-test F1 of at least 0.55 and at least 0.01 F1 improvement over the baseline. It also limits regression on the original population and requires schema, leakage, learner-split, and reproducibility checks. The candidate fails the minimum F1 (0.5381) and improvement (-0.0046) criteria. The other listed criteria pass. Therefore the recorded decision is REJECT_CANDIDATE_RETAIN_BASELINE.</w:t>
      </w:r>
    </w:p>
    <w:p>
      <w:r>
        <w:t>A rejection is a successful operation of a model-governance gate: the team did not promote a weaker candidate. Thresholds were fixed before candidate training, reducing the temptation to change rules after seeing results.</w:t>
      </w:r>
    </w:p>
    <w:p>
      <w:r>
        <w:br w:type="page"/>
      </w:r>
    </w:p>
    <w:p>
      <w:pPr>
        <w:pStyle w:val="Heading1"/>
        <w:keepNext/>
      </w:pPr>
      <w:r>
        <w:t>9. Experiment tracking and operational picture</w:t>
      </w:r>
    </w:p>
    <w:p>
      <w:r>
        <w:t>The project includes an MLflow registration script. Running it reconstructs local MLflow tracking information from saved artifacts without retraining. The README describes two experiment runs (baseline and candidate), logged parameters, metrics, dataset/config hashes, and reports. The local registry represents the baseline as version 1 with alias production and the candidate as version 2 with alias rejected_candidate, tied to the gate decision. The SQLite tracking database is local and not committed.</w:t>
      </w:r>
    </w:p>
    <w:p>
      <w:r>
        <w:t>This provides an experiment record, but it should not be confused with a continuously deployed service. The checked-in Streamlit app calls Groq and retrieves from Chroma; it does not load the registered Track B classifier. The project has a promotion decision artifact, but no automated production rollout of the Track B classifier is evidenced in the app path.</w:t>
      </w:r>
    </w:p>
    <w:p>
      <w:pPr>
        <w:pStyle w:val="Heading2"/>
        <w:keepNext/>
      </w:pPr>
      <w:r>
        <w:t>How the pieces connect</w:t>
      </w:r>
    </w:p>
    <w:p>
      <w:r>
        <w:t>Source PDFs → extraction and validation → processed learning units → embeddings → Chroma retrieval → retrieved context → Groq-generated tutor response. In parallel: scenario config and priors → synthetic interaction CSV → baseline training → shifted-data evaluation → candidate training → promotion gate → local MLflow registry record. DVC versions and reruns the Track B stage graph, while Git tracks code, configs, and committed small experiment outputs.</w:t>
      </w:r>
    </w:p>
    <w:p>
      <w:pPr>
        <w:pStyle w:val="Heading1"/>
        <w:keepNext/>
      </w:pPr>
      <w:r>
        <w:t>10. A presentation script you can adapt</w:t>
      </w:r>
    </w:p>
    <w:p>
      <w:r>
        <w:t>“Our project is a JEE tutoring prototype with a separate MLOps experiment. The tutor uses NCERT and JEE material as a searchable knowledge base. We extract PDF content into validated structured records, create topic-sized learning units, embed them with Sentence Transformers, and store the vectors in ChromaDB. When a student asks a question, the app retrieves subject-relevant passages and exam questions and gives them to a Groq language model as reference context. Streamlit presents the answer and its project references.”</w:t>
      </w:r>
    </w:p>
    <w:p>
      <w:r>
        <w:t>“For the MLOps demonstration, we simulate learner interactions because we do not claim to have validated real-student data. We train a logistic-regression model to predict whether the simulated learner should move down a difficulty level. DVC organizes six reproducible stages: generate data, train a baseline, create a shifted dataset, measure drift and performance, train a candidate, and run a promotion gate. The candidate did not meet our predeclared F1 threshold or beat the baseline, so the gate rejected it and retained the baseline. This shows that a sound MLOps process can decide not to promote a model.”</w:t>
      </w:r>
    </w:p>
    <w:p>
      <w:pPr>
        <w:pStyle w:val="Heading2"/>
        <w:keepNext/>
      </w:pPr>
      <w:r>
        <w:t>Likely questions and clear answers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024"/>
            <w:shd w:fill="17365D"/>
            <w:vAlign w:val="center"/>
            <w:tcMar>
              <w:top w:w="100" w:type="dxa"/>
              <w:start w:w="120" w:type="dxa"/>
              <w:bottom w:w="100" w:type="dxa"/>
              <w:end w:w="120" w:type="dxa"/>
            </w:tcMar>
          </w:tcPr>
          <w:p>
            <w:r>
              <w:rPr>
                <w:b/>
                <w:color w:val="FFFFFF"/>
                <w:sz w:val="18"/>
              </w:rPr>
              <w:t>Question</w:t>
            </w:r>
          </w:p>
        </w:tc>
        <w:tc>
          <w:tcPr>
            <w:tcW w:type="dxa" w:w="6192"/>
            <w:shd w:fill="17365D"/>
            <w:vAlign w:val="center"/>
            <w:tcMar>
              <w:top w:w="100" w:type="dxa"/>
              <w:start w:w="120" w:type="dxa"/>
              <w:bottom w:w="100" w:type="dxa"/>
              <w:end w:w="120" w:type="dxa"/>
            </w:tcMar>
          </w:tcPr>
          <w:p>
            <w:r>
              <w:rPr>
                <w:b/>
                <w:color w:val="FFFFFF"/>
                <w:sz w:val="18"/>
              </w:rPr>
              <w:t>Answer</w:t>
            </w:r>
          </w:p>
        </w:tc>
      </w:tr>
      <w:tr>
        <w:tc>
          <w:tcPr>
            <w:tcW w:type="dxa" w:w="3024"/>
            <w:vAlign w:val="center"/>
            <w:tcMar>
              <w:top w:w="100" w:type="dxa"/>
              <w:start w:w="120" w:type="dxa"/>
              <w:bottom w:w="100" w:type="dxa"/>
              <w:end w:w="120" w:type="dxa"/>
            </w:tcMar>
          </w:tcPr>
          <w:p>
            <w:pPr>
              <w:spacing w:after="20"/>
            </w:pPr>
            <w:r>
              <w:rPr>
                <w:sz w:val="17"/>
              </w:rPr>
              <w:t>Is the logistic-regression model answering student questions?</w:t>
            </w:r>
          </w:p>
        </w:tc>
        <w:tc>
          <w:tcPr>
            <w:tcW w:type="dxa" w:w="6192"/>
            <w:vAlign w:val="center"/>
            <w:tcMar>
              <w:top w:w="100" w:type="dxa"/>
              <w:start w:w="120" w:type="dxa"/>
              <w:bottom w:w="100" w:type="dxa"/>
              <w:end w:w="120" w:type="dxa"/>
            </w:tcMar>
          </w:tcPr>
          <w:p>
            <w:pPr>
              <w:spacing w:after="20"/>
            </w:pPr>
            <w:r>
              <w:rPr>
                <w:sz w:val="17"/>
              </w:rPr>
              <w:t>No. The app answers with a Groq LLM grounded by Chroma retrieval. Logistic regression is a separate synthetic experiment about lowering difficulty.</w:t>
            </w:r>
          </w:p>
        </w:tc>
      </w:tr>
      <w:tr>
        <w:tc>
          <w:tcPr>
            <w:tcW w:type="dxa" w:w="3024"/>
            <w:vAlign w:val="center"/>
            <w:shd w:fill="F1F5F9"/>
            <w:tcMar>
              <w:top w:w="100" w:type="dxa"/>
              <w:start w:w="120" w:type="dxa"/>
              <w:bottom w:w="100" w:type="dxa"/>
              <w:end w:w="120" w:type="dxa"/>
            </w:tcMar>
          </w:tcPr>
          <w:p>
            <w:pPr>
              <w:spacing w:after="20"/>
            </w:pPr>
            <w:r>
              <w:rPr>
                <w:sz w:val="17"/>
              </w:rPr>
              <w:t>Did you collect actual student behavior?</w:t>
            </w:r>
          </w:p>
        </w:tc>
        <w:tc>
          <w:tcPr>
            <w:tcW w:type="dxa" w:w="6192"/>
            <w:vAlign w:val="center"/>
            <w:shd w:fill="F1F5F9"/>
            <w:tcMar>
              <w:top w:w="100" w:type="dxa"/>
              <w:start w:w="120" w:type="dxa"/>
              <w:bottom w:w="100" w:type="dxa"/>
              <w:end w:w="120" w:type="dxa"/>
            </w:tcMar>
          </w:tcPr>
          <w:p>
            <w:pPr>
              <w:spacing w:after="20"/>
            </w:pPr>
            <w:r>
              <w:rPr>
                <w:sz w:val="17"/>
              </w:rPr>
              <w:t>The Track B interaction rows are synthetic and generated from documented assumptions. The results cannot establish real-student effectiveness.</w:t>
            </w:r>
          </w:p>
        </w:tc>
      </w:tr>
      <w:tr>
        <w:tc>
          <w:tcPr>
            <w:tcW w:type="dxa" w:w="3024"/>
            <w:vAlign w:val="center"/>
            <w:tcMar>
              <w:top w:w="100" w:type="dxa"/>
              <w:start w:w="120" w:type="dxa"/>
              <w:bottom w:w="100" w:type="dxa"/>
              <w:end w:w="120" w:type="dxa"/>
            </w:tcMar>
          </w:tcPr>
          <w:p>
            <w:pPr>
              <w:spacing w:after="20"/>
            </w:pPr>
            <w:r>
              <w:rPr>
                <w:sz w:val="17"/>
              </w:rPr>
              <w:t>Where is the content stored?</w:t>
            </w:r>
          </w:p>
        </w:tc>
        <w:tc>
          <w:tcPr>
            <w:tcW w:type="dxa" w:w="6192"/>
            <w:vAlign w:val="center"/>
            <w:tcMar>
              <w:top w:w="100" w:type="dxa"/>
              <w:start w:w="120" w:type="dxa"/>
              <w:bottom w:w="100" w:type="dxa"/>
              <w:end w:w="120" w:type="dxa"/>
            </w:tcMar>
          </w:tcPr>
          <w:p>
            <w:pPr>
              <w:spacing w:after="20"/>
            </w:pPr>
            <w:r>
              <w:rPr>
                <w:sz w:val="17"/>
              </w:rPr>
              <w:t>Processed JSONL is managed through DVC and its configured remote; vectors and searchable text are persisted by Chroma in a Docker volume. Raw PDFs need to be available separately.</w:t>
            </w:r>
          </w:p>
        </w:tc>
      </w:tr>
      <w:tr>
        <w:tc>
          <w:tcPr>
            <w:tcW w:type="dxa" w:w="3024"/>
            <w:vAlign w:val="center"/>
            <w:shd w:fill="F1F5F9"/>
            <w:tcMar>
              <w:top w:w="100" w:type="dxa"/>
              <w:start w:w="120" w:type="dxa"/>
              <w:bottom w:w="100" w:type="dxa"/>
              <w:end w:w="120" w:type="dxa"/>
            </w:tcMar>
          </w:tcPr>
          <w:p>
            <w:pPr>
              <w:spacing w:after="20"/>
            </w:pPr>
            <w:r>
              <w:rPr>
                <w:sz w:val="17"/>
              </w:rPr>
              <w:t>Why use embeddings?</w:t>
            </w:r>
          </w:p>
        </w:tc>
        <w:tc>
          <w:tcPr>
            <w:tcW w:type="dxa" w:w="6192"/>
            <w:vAlign w:val="center"/>
            <w:shd w:fill="F1F5F9"/>
            <w:tcMar>
              <w:top w:w="100" w:type="dxa"/>
              <w:start w:w="120" w:type="dxa"/>
              <w:bottom w:w="100" w:type="dxa"/>
              <w:end w:w="120" w:type="dxa"/>
            </w:tcMar>
          </w:tcPr>
          <w:p>
            <w:pPr>
              <w:spacing w:after="20"/>
            </w:pPr>
            <w:r>
              <w:rPr>
                <w:sz w:val="17"/>
              </w:rPr>
              <w:t>They represent text as numeric vectors so semantically similar questions and passages can be found even when wording differs.</w:t>
            </w:r>
          </w:p>
        </w:tc>
      </w:tr>
      <w:tr>
        <w:tc>
          <w:tcPr>
            <w:tcW w:type="dxa" w:w="3024"/>
            <w:vAlign w:val="center"/>
            <w:tcMar>
              <w:top w:w="100" w:type="dxa"/>
              <w:start w:w="120" w:type="dxa"/>
              <w:bottom w:w="100" w:type="dxa"/>
              <w:end w:w="120" w:type="dxa"/>
            </w:tcMar>
          </w:tcPr>
          <w:p>
            <w:pPr>
              <w:spacing w:after="20"/>
            </w:pPr>
            <w:r>
              <w:rPr>
                <w:sz w:val="17"/>
              </w:rPr>
              <w:t>Why not use accuracy as the only metric?</w:t>
            </w:r>
          </w:p>
        </w:tc>
        <w:tc>
          <w:tcPr>
            <w:tcW w:type="dxa" w:w="6192"/>
            <w:vAlign w:val="center"/>
            <w:tcMar>
              <w:top w:w="100" w:type="dxa"/>
              <w:start w:w="120" w:type="dxa"/>
              <w:bottom w:w="100" w:type="dxa"/>
              <w:end w:w="120" w:type="dxa"/>
            </w:tcMar>
          </w:tcPr>
          <w:p>
            <w:pPr>
              <w:spacing w:after="20"/>
            </w:pPr>
            <w:r>
              <w:rPr>
                <w:sz w:val="17"/>
              </w:rPr>
              <w:t>The target is imbalanced. A majority-class model gets roughly 83% accuracy while detecting none of the positive cases; F1 and ROC-AUC reveal more.</w:t>
            </w:r>
          </w:p>
        </w:tc>
      </w:tr>
      <w:tr>
        <w:tc>
          <w:tcPr>
            <w:tcW w:type="dxa" w:w="3024"/>
            <w:vAlign w:val="center"/>
            <w:shd w:fill="F1F5F9"/>
            <w:tcMar>
              <w:top w:w="100" w:type="dxa"/>
              <w:start w:w="120" w:type="dxa"/>
              <w:bottom w:w="100" w:type="dxa"/>
              <w:end w:w="120" w:type="dxa"/>
            </w:tcMar>
          </w:tcPr>
          <w:p>
            <w:pPr>
              <w:spacing w:after="20"/>
            </w:pPr>
            <w:r>
              <w:rPr>
                <w:sz w:val="17"/>
              </w:rPr>
              <w:t>What does drift mean here?</w:t>
            </w:r>
          </w:p>
        </w:tc>
        <w:tc>
          <w:tcPr>
            <w:tcW w:type="dxa" w:w="6192"/>
            <w:vAlign w:val="center"/>
            <w:shd w:fill="F1F5F9"/>
            <w:tcMar>
              <w:top w:w="100" w:type="dxa"/>
              <w:start w:w="120" w:type="dxa"/>
              <w:bottom w:w="100" w:type="dxa"/>
              <w:end w:w="120" w:type="dxa"/>
            </w:tcMar>
          </w:tcPr>
          <w:p>
            <w:pPr>
              <w:spacing w:after="20"/>
            </w:pPr>
            <w:r>
              <w:rPr>
                <w:sz w:val="17"/>
              </w:rPr>
              <w:t>Input distributions changed in a controlled synthetic shift. Drift is monitored separately from test performance; it does not automatically mean the model failed.</w:t>
            </w:r>
          </w:p>
        </w:tc>
      </w:tr>
      <w:tr>
        <w:tc>
          <w:tcPr>
            <w:tcW w:type="dxa" w:w="3024"/>
            <w:vAlign w:val="center"/>
            <w:tcMar>
              <w:top w:w="100" w:type="dxa"/>
              <w:start w:w="120" w:type="dxa"/>
              <w:bottom w:w="100" w:type="dxa"/>
              <w:end w:w="120" w:type="dxa"/>
            </w:tcMar>
          </w:tcPr>
          <w:p>
            <w:pPr>
              <w:spacing w:after="20"/>
            </w:pPr>
            <w:r>
              <w:rPr>
                <w:sz w:val="17"/>
              </w:rPr>
              <w:t>Why was the candidate rejected?</w:t>
            </w:r>
          </w:p>
        </w:tc>
        <w:tc>
          <w:tcPr>
            <w:tcW w:type="dxa" w:w="6192"/>
            <w:vAlign w:val="center"/>
            <w:tcMar>
              <w:top w:w="100" w:type="dxa"/>
              <w:start w:w="120" w:type="dxa"/>
              <w:bottom w:w="100" w:type="dxa"/>
              <w:end w:w="120" w:type="dxa"/>
            </w:tcMar>
          </w:tcPr>
          <w:p>
            <w:pPr>
              <w:spacing w:after="20"/>
            </w:pPr>
            <w:r>
              <w:rPr>
                <w:sz w:val="17"/>
              </w:rPr>
              <w:t>Its shifted-test F1 was 0.5381, below 0.55, and it was 0.0046 worse than the baseline instead of improving by 0.01.</w:t>
            </w:r>
          </w:p>
        </w:tc>
      </w:tr>
      <w:tr>
        <w:tc>
          <w:tcPr>
            <w:tcW w:type="dxa" w:w="3024"/>
            <w:vAlign w:val="center"/>
            <w:shd w:fill="F1F5F9"/>
            <w:tcMar>
              <w:top w:w="100" w:type="dxa"/>
              <w:start w:w="120" w:type="dxa"/>
              <w:bottom w:w="100" w:type="dxa"/>
              <w:end w:w="120" w:type="dxa"/>
            </w:tcMar>
          </w:tcPr>
          <w:p>
            <w:pPr>
              <w:spacing w:after="20"/>
            </w:pPr>
            <w:r>
              <w:rPr>
                <w:sz w:val="17"/>
              </w:rPr>
              <w:t>What would be needed before real use?</w:t>
            </w:r>
          </w:p>
        </w:tc>
        <w:tc>
          <w:tcPr>
            <w:tcW w:type="dxa" w:w="6192"/>
            <w:vAlign w:val="center"/>
            <w:shd w:fill="F1F5F9"/>
            <w:tcMar>
              <w:top w:w="100" w:type="dxa"/>
              <w:start w:w="120" w:type="dxa"/>
              <w:bottom w:w="100" w:type="dxa"/>
              <w:end w:w="120" w:type="dxa"/>
            </w:tcMar>
          </w:tcPr>
          <w:p>
            <w:pPr>
              <w:spacing w:after="20"/>
            </w:pPr>
            <w:r>
              <w:rPr>
                <w:sz w:val="17"/>
              </w:rPr>
              <w:t>Approved real data, privacy/consent controls, expert review, robust evaluation across cohorts, fairness and safety checks, and monitoring/rollback procedures.</w:t>
            </w:r>
          </w:p>
        </w:tc>
      </w:tr>
    </w:tbl>
    <w:p>
      <w:pPr>
        <w:spacing w:after="20"/>
      </w:pPr>
    </w:p>
    <w:p>
      <w:pPr>
        <w:pStyle w:val="Heading1"/>
        <w:keepNext/>
      </w:pPr>
      <w:r>
        <w:t>11. Limits and next steps</w:t>
      </w:r>
    </w:p>
    <w:p>
      <w:r>
        <w:t>The strongest claim supported by the repository is that it implements a reproducible demonstration of content retrieval and synthetic-data model governance. It does not demonstrate a validated adaptive tutor for real students. Current reports explicitly label Track B as synthetic; configured PDFs are absent in the checked-in NCERT quality report; and the MLflow store and Chroma volume are local runtime artifacts.</w:t>
      </w:r>
    </w:p>
    <w:p>
      <w:pPr>
        <w:pStyle w:val="ListBullet"/>
        <w:spacing w:after="60"/>
      </w:pPr>
      <w:r>
        <w:t>Confirm the source-document collection history and rights, and keep it alongside source checksums and metadata.</w:t>
      </w:r>
    </w:p>
    <w:p>
      <w:pPr>
        <w:pStyle w:val="ListBullet"/>
        <w:spacing w:after="60"/>
      </w:pPr>
      <w:r>
        <w:t>Pull or stage the intended DVC datasets before a clean demonstration, then verify the retrieval index and reference display.</w:t>
      </w:r>
    </w:p>
    <w:p>
      <w:pPr>
        <w:pStyle w:val="ListBullet"/>
        <w:spacing w:after="60"/>
      </w:pPr>
      <w:r>
        <w:t>If adapting difficulty to real learners, collect consented data under a defined privacy policy and validate the target with educators before model training.</w:t>
      </w:r>
    </w:p>
    <w:p>
      <w:pPr>
        <w:pStyle w:val="ListBullet"/>
        <w:spacing w:after="60"/>
      </w:pPr>
      <w:r>
        <w:t>Treat retrieval quality and generated-answer quality as separate evaluation problems; retrieved text can be irrelevant and an LLM can still make mistakes.</w:t>
      </w:r>
    </w:p>
    <w:p>
      <w:pPr>
        <w:pStyle w:val="ListBullet"/>
        <w:spacing w:after="60"/>
      </w:pPr>
      <w:r>
        <w:t>For production, add operational monitoring, access control, secret management, versioned deployments, rollback, and a process for human review.</w:t>
      </w:r>
    </w:p>
    <w:p>
      <w:pPr>
        <w:pStyle w:val="Heading1"/>
        <w:keepNext/>
        <w:pageBreakBefore/>
      </w:pPr>
      <w:r>
        <w:t>Glossary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16"/>
            <w:shd w:fill="17365D"/>
            <w:vAlign w:val="center"/>
            <w:tcMar>
              <w:top w:w="100" w:type="dxa"/>
              <w:start w:w="120" w:type="dxa"/>
              <w:bottom w:w="100" w:type="dxa"/>
              <w:end w:w="120" w:type="dxa"/>
            </w:tcMar>
          </w:tcPr>
          <w:p>
            <w:r>
              <w:rPr>
                <w:b/>
                <w:color w:val="FFFFFF"/>
                <w:sz w:val="18"/>
              </w:rPr>
              <w:t>Term</w:t>
            </w:r>
          </w:p>
        </w:tc>
        <w:tc>
          <w:tcPr>
            <w:tcW w:type="dxa" w:w="7200"/>
            <w:shd w:fill="17365D"/>
            <w:vAlign w:val="center"/>
            <w:tcMar>
              <w:top w:w="100" w:type="dxa"/>
              <w:start w:w="120" w:type="dxa"/>
              <w:bottom w:w="100" w:type="dxa"/>
              <w:end w:w="120" w:type="dxa"/>
            </w:tcMar>
          </w:tcPr>
          <w:p>
            <w:r>
              <w:rPr>
                <w:b/>
                <w:color w:val="FFFFFF"/>
                <w:sz w:val="18"/>
              </w:rPr>
              <w:t>Meaning in this project</w:t>
            </w:r>
          </w:p>
        </w:tc>
      </w:tr>
      <w:tr>
        <w:tc>
          <w:tcPr>
            <w:tcW w:type="dxa" w:w="2016"/>
            <w:vAlign w:val="center"/>
            <w:tcMar>
              <w:top w:w="100" w:type="dxa"/>
              <w:start w:w="120" w:type="dxa"/>
              <w:bottom w:w="100" w:type="dxa"/>
              <w:end w:w="120" w:type="dxa"/>
            </w:tcMar>
          </w:tcPr>
          <w:p>
            <w:pPr>
              <w:spacing w:after="20"/>
            </w:pPr>
            <w:r>
              <w:rPr>
                <w:sz w:val="17"/>
              </w:rPr>
              <w:t>DVC</w:t>
            </w:r>
          </w:p>
        </w:tc>
        <w:tc>
          <w:tcPr>
            <w:tcW w:type="dxa" w:w="7200"/>
            <w:vAlign w:val="center"/>
            <w:tcMar>
              <w:top w:w="100" w:type="dxa"/>
              <w:start w:w="120" w:type="dxa"/>
              <w:bottom w:w="100" w:type="dxa"/>
              <w:end w:w="120" w:type="dxa"/>
            </w:tcMar>
          </w:tcPr>
          <w:p>
            <w:pPr>
              <w:spacing w:after="20"/>
            </w:pPr>
            <w:r>
              <w:rPr>
                <w:sz w:val="17"/>
              </w:rPr>
              <w:t>Data Version Control; records pipeline stages and dataset/model/report dependencies so work can be reproduced.</w:t>
            </w:r>
          </w:p>
        </w:tc>
      </w:tr>
      <w:tr>
        <w:tc>
          <w:tcPr>
            <w:tcW w:type="dxa" w:w="2016"/>
            <w:vAlign w:val="center"/>
            <w:shd w:fill="F1F5F9"/>
            <w:tcMar>
              <w:top w:w="100" w:type="dxa"/>
              <w:start w:w="120" w:type="dxa"/>
              <w:bottom w:w="100" w:type="dxa"/>
              <w:end w:w="120" w:type="dxa"/>
            </w:tcMar>
          </w:tcPr>
          <w:p>
            <w:pPr>
              <w:spacing w:after="20"/>
            </w:pPr>
            <w:r>
              <w:rPr>
                <w:sz w:val="17"/>
              </w:rPr>
              <w:t>JSONL</w:t>
            </w:r>
          </w:p>
        </w:tc>
        <w:tc>
          <w:tcPr>
            <w:tcW w:type="dxa" w:w="7200"/>
            <w:vAlign w:val="center"/>
            <w:shd w:fill="F1F5F9"/>
            <w:tcMar>
              <w:top w:w="100" w:type="dxa"/>
              <w:start w:w="120" w:type="dxa"/>
              <w:bottom w:w="100" w:type="dxa"/>
              <w:end w:w="120" w:type="dxa"/>
            </w:tcMar>
          </w:tcPr>
          <w:p>
            <w:pPr>
              <w:spacing w:after="20"/>
            </w:pPr>
            <w:r>
              <w:rPr>
                <w:sz w:val="17"/>
              </w:rPr>
              <w:t>JSON Lines; each line is one standalone JSON record.</w:t>
            </w:r>
          </w:p>
        </w:tc>
      </w:tr>
      <w:tr>
        <w:tc>
          <w:tcPr>
            <w:tcW w:type="dxa" w:w="2016"/>
            <w:vAlign w:val="center"/>
            <w:tcMar>
              <w:top w:w="100" w:type="dxa"/>
              <w:start w:w="120" w:type="dxa"/>
              <w:bottom w:w="100" w:type="dxa"/>
              <w:end w:w="120" w:type="dxa"/>
            </w:tcMar>
          </w:tcPr>
          <w:p>
            <w:pPr>
              <w:spacing w:after="20"/>
            </w:pPr>
            <w:r>
              <w:rPr>
                <w:sz w:val="17"/>
              </w:rPr>
              <w:t>Embedding</w:t>
            </w:r>
          </w:p>
        </w:tc>
        <w:tc>
          <w:tcPr>
            <w:tcW w:type="dxa" w:w="7200"/>
            <w:vAlign w:val="center"/>
            <w:tcMar>
              <w:top w:w="100" w:type="dxa"/>
              <w:start w:w="120" w:type="dxa"/>
              <w:bottom w:w="100" w:type="dxa"/>
              <w:end w:w="120" w:type="dxa"/>
            </w:tcMar>
          </w:tcPr>
          <w:p>
            <w:pPr>
              <w:spacing w:after="20"/>
            </w:pPr>
            <w:r>
              <w:rPr>
                <w:sz w:val="17"/>
              </w:rPr>
              <w:t>A numeric vector representing text, used for semantic search.</w:t>
            </w:r>
          </w:p>
        </w:tc>
      </w:tr>
      <w:tr>
        <w:tc>
          <w:tcPr>
            <w:tcW w:type="dxa" w:w="2016"/>
            <w:vAlign w:val="center"/>
            <w:shd w:fill="F1F5F9"/>
            <w:tcMar>
              <w:top w:w="100" w:type="dxa"/>
              <w:start w:w="120" w:type="dxa"/>
              <w:bottom w:w="100" w:type="dxa"/>
              <w:end w:w="120" w:type="dxa"/>
            </w:tcMar>
          </w:tcPr>
          <w:p>
            <w:pPr>
              <w:spacing w:after="20"/>
            </w:pPr>
            <w:r>
              <w:rPr>
                <w:sz w:val="17"/>
              </w:rPr>
              <w:t>ChromaDB</w:t>
            </w:r>
          </w:p>
        </w:tc>
        <w:tc>
          <w:tcPr>
            <w:tcW w:type="dxa" w:w="7200"/>
            <w:vAlign w:val="center"/>
            <w:shd w:fill="F1F5F9"/>
            <w:tcMar>
              <w:top w:w="100" w:type="dxa"/>
              <w:start w:w="120" w:type="dxa"/>
              <w:bottom w:w="100" w:type="dxa"/>
              <w:end w:w="120" w:type="dxa"/>
            </w:tcMar>
          </w:tcPr>
          <w:p>
            <w:pPr>
              <w:spacing w:after="20"/>
            </w:pPr>
            <w:r>
              <w:rPr>
                <w:sz w:val="17"/>
              </w:rPr>
              <w:t>Vector database storing embeddings, text, IDs, and metadata for retrieval.</w:t>
            </w:r>
          </w:p>
        </w:tc>
      </w:tr>
      <w:tr>
        <w:tc>
          <w:tcPr>
            <w:tcW w:type="dxa" w:w="2016"/>
            <w:vAlign w:val="center"/>
            <w:tcMar>
              <w:top w:w="100" w:type="dxa"/>
              <w:start w:w="120" w:type="dxa"/>
              <w:bottom w:w="100" w:type="dxa"/>
              <w:end w:w="120" w:type="dxa"/>
            </w:tcMar>
          </w:tcPr>
          <w:p>
            <w:pPr>
              <w:spacing w:after="20"/>
            </w:pPr>
            <w:r>
              <w:rPr>
                <w:sz w:val="17"/>
              </w:rPr>
              <w:t>RAG</w:t>
            </w:r>
          </w:p>
        </w:tc>
        <w:tc>
          <w:tcPr>
            <w:tcW w:type="dxa" w:w="7200"/>
            <w:vAlign w:val="center"/>
            <w:tcMar>
              <w:top w:w="100" w:type="dxa"/>
              <w:start w:w="120" w:type="dxa"/>
              <w:bottom w:w="100" w:type="dxa"/>
              <w:end w:w="120" w:type="dxa"/>
            </w:tcMar>
          </w:tcPr>
          <w:p>
            <w:pPr>
              <w:spacing w:after="20"/>
            </w:pPr>
            <w:r>
              <w:rPr>
                <w:sz w:val="17"/>
              </w:rPr>
              <w:t>Retrieval-augmented generation: find relevant sources, then provide them to a generative model as context.</w:t>
            </w:r>
          </w:p>
        </w:tc>
      </w:tr>
      <w:tr>
        <w:tc>
          <w:tcPr>
            <w:tcW w:type="dxa" w:w="2016"/>
            <w:vAlign w:val="center"/>
            <w:shd w:fill="F1F5F9"/>
            <w:tcMar>
              <w:top w:w="100" w:type="dxa"/>
              <w:start w:w="120" w:type="dxa"/>
              <w:bottom w:w="100" w:type="dxa"/>
              <w:end w:w="120" w:type="dxa"/>
            </w:tcMar>
          </w:tcPr>
          <w:p>
            <w:pPr>
              <w:spacing w:after="20"/>
            </w:pPr>
            <w:r>
              <w:rPr>
                <w:sz w:val="17"/>
              </w:rPr>
              <w:t>Data drift</w:t>
            </w:r>
          </w:p>
        </w:tc>
        <w:tc>
          <w:tcPr>
            <w:tcW w:type="dxa" w:w="7200"/>
            <w:vAlign w:val="center"/>
            <w:shd w:fill="F1F5F9"/>
            <w:tcMar>
              <w:top w:w="100" w:type="dxa"/>
              <w:start w:w="120" w:type="dxa"/>
              <w:bottom w:w="100" w:type="dxa"/>
              <w:end w:w="120" w:type="dxa"/>
            </w:tcMar>
          </w:tcPr>
          <w:p>
            <w:pPr>
              <w:spacing w:after="20"/>
            </w:pPr>
            <w:r>
              <w:rPr>
                <w:sz w:val="17"/>
              </w:rPr>
              <w:t>A change in the feature distribution between a reference dataset and a newer dataset.</w:t>
            </w:r>
          </w:p>
        </w:tc>
      </w:tr>
      <w:tr>
        <w:tc>
          <w:tcPr>
            <w:tcW w:type="dxa" w:w="2016"/>
            <w:vAlign w:val="center"/>
            <w:tcMar>
              <w:top w:w="100" w:type="dxa"/>
              <w:start w:w="120" w:type="dxa"/>
              <w:bottom w:w="100" w:type="dxa"/>
              <w:end w:w="120" w:type="dxa"/>
            </w:tcMar>
          </w:tcPr>
          <w:p>
            <w:pPr>
              <w:spacing w:after="20"/>
            </w:pPr>
            <w:r>
              <w:rPr>
                <w:sz w:val="17"/>
              </w:rPr>
              <w:t>Promotion gate</w:t>
            </w:r>
          </w:p>
        </w:tc>
        <w:tc>
          <w:tcPr>
            <w:tcW w:type="dxa" w:w="7200"/>
            <w:vAlign w:val="center"/>
            <w:tcMar>
              <w:top w:w="100" w:type="dxa"/>
              <w:start w:w="120" w:type="dxa"/>
              <w:bottom w:w="100" w:type="dxa"/>
              <w:end w:w="120" w:type="dxa"/>
            </w:tcMar>
          </w:tcPr>
          <w:p>
            <w:pPr>
              <w:spacing w:after="20"/>
            </w:pPr>
            <w:r>
              <w:rPr>
                <w:sz w:val="17"/>
              </w:rPr>
              <w:t>A predeclared set of checks that must pass before a candidate model is accepted.</w:t>
            </w:r>
          </w:p>
        </w:tc>
      </w:tr>
      <w:tr>
        <w:tc>
          <w:tcPr>
            <w:tcW w:type="dxa" w:w="2016"/>
            <w:vAlign w:val="center"/>
            <w:shd w:fill="F1F5F9"/>
            <w:tcMar>
              <w:top w:w="100" w:type="dxa"/>
              <w:start w:w="120" w:type="dxa"/>
              <w:bottom w:w="100" w:type="dxa"/>
              <w:end w:w="120" w:type="dxa"/>
            </w:tcMar>
          </w:tcPr>
          <w:p>
            <w:pPr>
              <w:spacing w:after="20"/>
            </w:pPr>
            <w:r>
              <w:rPr>
                <w:sz w:val="17"/>
              </w:rPr>
              <w:t>Model card</w:t>
            </w:r>
          </w:p>
        </w:tc>
        <w:tc>
          <w:tcPr>
            <w:tcW w:type="dxa" w:w="7200"/>
            <w:vAlign w:val="center"/>
            <w:shd w:fill="F1F5F9"/>
            <w:tcMar>
              <w:top w:w="100" w:type="dxa"/>
              <w:start w:w="120" w:type="dxa"/>
              <w:bottom w:w="100" w:type="dxa"/>
              <w:end w:w="120" w:type="dxa"/>
            </w:tcMar>
          </w:tcPr>
          <w:p>
            <w:pPr>
              <w:spacing w:after="20"/>
            </w:pPr>
            <w:r>
              <w:rPr>
                <w:sz w:val="17"/>
              </w:rPr>
              <w:t>A metadata document describing model inputs, target, training data, configuration, and provenance.</w:t>
            </w:r>
          </w:p>
        </w:tc>
      </w:tr>
    </w:tbl>
    <w:p>
      <w:pPr>
        <w:spacing w:after="20"/>
      </w:pP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6"/>
      </w:rPr>
      <w:t xml:space="preserve">College presentation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rFonts w:ascii="Aptos" w:hAnsi="Aptos"/>
        <w:color w:val="5A646E"/>
        <w:sz w:val="16"/>
      </w:rPr>
      <w:t>JEE TUTOR  /  MLOPS PROJECT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2B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JEE Tutor MLOps Project Explained</dc:title>
  <dc:subject>Data, storage, retrieval, model lifecycle, and presentation guide</dc:subject>
  <dc:creator>Project presentation guide</dc:creator>
  <cp:keywords/>
  <dc:description>generated by python-docx</dc:description>
  <cp:lastModifiedBy/>
  <cp:revision>1</cp:revision>
  <dcterms:created xsi:type="dcterms:W3CDTF">2013-12-23T23:15:00Z</dcterms:created>
  <dcterms:modified xsi:type="dcterms:W3CDTF">2013-12-23T23:15:00Z</dcterms:modified>
  <cp:category/>
</cp:coreProperties>
</file>