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5F"/>
          <w:sz w:val="30"/>
          <w:szCs w:val="30"/>
        </w:rPr>
        <w:t xml:space="preserve">Workforce Analytics &amp; Headcount Planning — Executive Summary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Human Capital · Global Analytics &amp; Reporting  |  Data as of 01-Jul-2026</w:t>
      </w:r>
    </w:p>
    <w:p>
      <w:pPr>
        <w:pStyle w:val="Heading2"/>
        <w:spacing w:after="100" w:before="200"/>
      </w:pPr>
      <w:r>
        <w:rPr>
          <w:b/>
          <w:bCs/>
          <w:color w:val="1F4E5F"/>
          <w:sz w:val="24"/>
          <w:szCs w:val="24"/>
        </w:rPr>
        <w:t xml:space="preserve">Headline</w:t>
      </w:r>
    </w:p>
    <w:p>
      <w:pPr>
        <w:spacing w:after="120"/>
      </w:pPr>
      <w:r>
        <w:rPr>
          <w:sz w:val="20"/>
          <w:szCs w:val="20"/>
        </w:rPr>
        <w:t xml:space="preserve">The organization is 275 heads short of its 2026 target (2,175 of 2,450), with the largest gaps in Engineering (76) and Sales (71). Average attrition sits at 9.8%, concentrated in Human Capital (13.6%) and in the 0-2 year tenure band. Manager churn is the single strongest predictor of attrition risk in our model — employees with 3+ manager changes in two years attrite at 24.5%, versus 6.9% for those with none.</w:t>
      </w:r>
    </w:p>
    <w:p>
      <w:pPr>
        <w:pStyle w:val="Heading2"/>
        <w:spacing w:after="100" w:before="200"/>
      </w:pPr>
      <w:r>
        <w:rPr>
          <w:b/>
          <w:bCs/>
          <w:color w:val="1F4E5F"/>
          <w:sz w:val="24"/>
          <w:szCs w:val="24"/>
        </w:rPr>
        <w:t xml:space="preserve">Headcount vs. 2026 Target, by Department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1800"/>
      </w:tblGrid>
      <w:tr>
        <w:tc>
          <w:tcPr>
            <w:tcW w:type="dxa" w:w="3600"/>
            <w:shd w:fill="1F4E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800"/>
            <w:shd w:fill="1F4E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1800"/>
            <w:shd w:fill="1F4E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800"/>
            <w:shd w:fill="1F4E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744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820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76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329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71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58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&amp; Analytics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206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Marketing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186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195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Human Capital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108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115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4E5F"/>
          <w:sz w:val="24"/>
          <w:szCs w:val="24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Manager stability matters more than compensation or level: manager changes carry the largest model coefficient (0.38), ahead of tenure (-0.38), engagement (-0.15), and salary (0.07).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Attrition is front-loaded: the 0-1 year and 2-4 year bands both run above 11%, while 4+ year tenure drops to 5.7% — the risk is concentrated in onboarding and the post-ramp "second year slump," not long-tenured staff.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Recruitment conversion (applied → hired) improved to 7.68% in 2026-Q2, up from a 2025 average of ~6.7%, driven by Marketing (10.4%) and Engineering (9.9%); Finance and Operations convert slowest (~6.2-6.4%).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logistic regression model (ROC-AUC 0.63 on held-out data) flags 50 currently active employees in the top attrition-risk decile — concentrated in Finance and Engineering — for proactive retention conversations.</w:t>
      </w:r>
    </w:p>
    <w:p>
      <w:pPr>
        <w:pStyle w:val="Heading2"/>
        <w:spacing w:after="100" w:before="200"/>
      </w:pPr>
      <w:r>
        <w:rPr>
          <w:b/>
          <w:bCs/>
          <w:color w:val="1F4E5F"/>
          <w:sz w:val="24"/>
          <w:szCs w:val="24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Prioritize hiring capacity in Engineering and Sales, which together account for over half the total headcount gap.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Audit manager transitions in Finance and Engineering, where several top-50 at-risk employees have had 3+ manager changes in two years.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Target retention outreach at the 50 employees flagged by the risk model before the next review cycle, rather than waiting for exit interviews.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Investigate Human Capital's above-average attrition (13.6%) separately — small base (125 ever hired) means a handful of exits move the rate sharply; verify with a larger sample before acting.</w:t>
      </w:r>
    </w:p>
    <w:p>
      <w:pPr>
        <w:spacing w:before="300"/>
      </w:pPr>
      <w:r>
        <w:rPr>
          <w:i/>
          <w:iCs/>
          <w:color w:val="666666"/>
          <w:sz w:val="16"/>
          <w:szCs w:val="16"/>
        </w:rPr>
        <w:t xml:space="preserve">Methodology: SQL (SQLite) for headcount, attrition, and funnel aggregation; Python (pandas, scikit-learn) for EDA and the attrition-risk model; Power BI-style dashboard and Excel workbook (live formulas) for reporting. Full pipeline and source files included alongside this summary.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2026-07-30T00:34:51.540Z</dcterms:created>
  <dcterms:modified xsi:type="dcterms:W3CDTF">2026-07-30T00:34:51.553Z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