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6E37" w14:textId="77777777" w:rsidR="004F4727" w:rsidRPr="003238AF" w:rsidRDefault="00000000">
      <w:pPr>
        <w:spacing w:before="157" w:after="157" w:line="270" w:lineRule="auto"/>
        <w:rPr>
          <w:rFonts w:ascii="Times New Roman" w:hAnsi="Times New Roman" w:cs="Times New Roman"/>
        </w:rPr>
      </w:pPr>
      <w:bookmarkStart w:id="0" w:name="professional_institutional_resear_fd01d4"/>
      <w:r w:rsidRPr="003238AF">
        <w:rPr>
          <w:rFonts w:ascii="Times New Roman" w:eastAsia="inter" w:hAnsi="Times New Roman" w:cs="Times New Roman"/>
          <w:b/>
          <w:color w:val="000000"/>
          <w:sz w:val="39"/>
        </w:rPr>
        <w:t>PROFESSIONAL INSTITUTIONAL RESEARCH REPORT</w:t>
      </w:r>
      <w:bookmarkEnd w:id="0"/>
    </w:p>
    <w:p w14:paraId="70A5FFBB" w14:textId="77777777" w:rsidR="004F4727" w:rsidRPr="003238AF" w:rsidRDefault="00000000">
      <w:pPr>
        <w:spacing w:before="315" w:after="105" w:line="360" w:lineRule="auto"/>
        <w:ind w:left="-30"/>
        <w:rPr>
          <w:rFonts w:ascii="Times New Roman" w:hAnsi="Times New Roman" w:cs="Times New Roman"/>
        </w:rPr>
      </w:pPr>
      <w:bookmarkStart w:id="1" w:name="quantitative_stock_price_predicti_97893c"/>
      <w:r w:rsidRPr="003238AF">
        <w:rPr>
          <w:rFonts w:ascii="Times New Roman" w:eastAsia="inter" w:hAnsi="Times New Roman" w:cs="Times New Roman"/>
          <w:b/>
          <w:color w:val="000000"/>
          <w:sz w:val="24"/>
        </w:rPr>
        <w:t>QUANTITATIVE STOCK PRICE PREDICTION SYSTEM USING DEEP RECURRENT NEURAL NETWORKS</w:t>
      </w:r>
      <w:bookmarkEnd w:id="1"/>
    </w:p>
    <w:p w14:paraId="2B509B47" w14:textId="77777777" w:rsidR="004F4727" w:rsidRPr="003238AF" w:rsidRDefault="00000000">
      <w:pPr>
        <w:spacing w:before="315" w:after="105" w:line="360" w:lineRule="auto"/>
        <w:ind w:left="-30"/>
        <w:rPr>
          <w:rFonts w:ascii="Times New Roman" w:hAnsi="Times New Roman" w:cs="Times New Roman"/>
        </w:rPr>
      </w:pPr>
      <w:bookmarkStart w:id="2" w:name="executive_briefing_document_for_i_f73f5a"/>
      <w:r w:rsidRPr="003238AF">
        <w:rPr>
          <w:rFonts w:ascii="Times New Roman" w:eastAsia="inter" w:hAnsi="Times New Roman" w:cs="Times New Roman"/>
          <w:b/>
          <w:color w:val="000000"/>
          <w:sz w:val="24"/>
        </w:rPr>
        <w:t>Executive Briefing Document for Institutional Investment Committees</w:t>
      </w:r>
      <w:bookmarkEnd w:id="2"/>
    </w:p>
    <w:p w14:paraId="1442AA96" w14:textId="77777777" w:rsidR="004F4727" w:rsidRPr="003238AF" w:rsidRDefault="00000000" w:rsidP="003238AF">
      <w:pPr>
        <w:spacing w:before="315" w:after="105" w:line="360" w:lineRule="auto"/>
        <w:rPr>
          <w:rFonts w:ascii="Times New Roman" w:hAnsi="Times New Roman" w:cs="Times New Roman"/>
        </w:rPr>
      </w:pPr>
      <w:bookmarkStart w:id="3" w:name="section_1_investment_thesis_and_e_9b9663"/>
      <w:r w:rsidRPr="003238AF">
        <w:rPr>
          <w:rFonts w:ascii="Times New Roman" w:eastAsia="inter" w:hAnsi="Times New Roman" w:cs="Times New Roman"/>
          <w:b/>
          <w:color w:val="000000"/>
          <w:sz w:val="24"/>
        </w:rPr>
        <w:t>SECTION 1: INVESTMENT THESIS AND EXECUTIVE SUMMARY</w:t>
      </w:r>
      <w:bookmarkEnd w:id="3"/>
    </w:p>
    <w:p w14:paraId="5C96EBC5" w14:textId="77777777" w:rsidR="004F4727" w:rsidRPr="003238AF" w:rsidRDefault="00000000">
      <w:pPr>
        <w:spacing w:before="315" w:after="105" w:line="360" w:lineRule="auto"/>
        <w:ind w:left="-30"/>
        <w:rPr>
          <w:rFonts w:ascii="Times New Roman" w:hAnsi="Times New Roman" w:cs="Times New Roman"/>
        </w:rPr>
      </w:pPr>
      <w:bookmarkStart w:id="4" w:name="bm_1_1_overview_and_strategic_objective"/>
      <w:r w:rsidRPr="003238AF">
        <w:rPr>
          <w:rFonts w:ascii="Times New Roman" w:eastAsia="inter" w:hAnsi="Times New Roman" w:cs="Times New Roman"/>
          <w:b/>
          <w:color w:val="000000"/>
          <w:sz w:val="24"/>
        </w:rPr>
        <w:t>1.1 Overview and Strategic Objective</w:t>
      </w:r>
      <w:bookmarkEnd w:id="4"/>
    </w:p>
    <w:p w14:paraId="24DFD60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report documents a comprehensive investigation into the application of deep learning methodologies specifically Gated Recurrent Unit neural networks for the prediction of daily equity price movements across multiple asset classes. The research was conducted to evaluate whether modern machine learning techniques can generate statistically significant alpha signals while maintaining appropriate risk management protocols and realistic transaction cost assumptions.</w:t>
      </w:r>
    </w:p>
    <w:p w14:paraId="3A21E4B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core research question addressed in this study is whether a single unified neural network architecture trained on a single security can effectively generalize predictions across multiple securities within the same economic sector or market capitalization band. This question has significant implications for portfolio management efficiency and the feasibility of scalable algorithmic trading systems.</w:t>
      </w:r>
    </w:p>
    <w:p w14:paraId="41502017" w14:textId="77777777" w:rsidR="004F4727" w:rsidRPr="003238AF" w:rsidRDefault="00000000">
      <w:pPr>
        <w:spacing w:before="315" w:after="105" w:line="360" w:lineRule="auto"/>
        <w:ind w:left="-30"/>
        <w:rPr>
          <w:rFonts w:ascii="Times New Roman" w:hAnsi="Times New Roman" w:cs="Times New Roman"/>
        </w:rPr>
      </w:pPr>
      <w:bookmarkStart w:id="5" w:name="bm_1_2_key_findings_summary"/>
      <w:r w:rsidRPr="003238AF">
        <w:rPr>
          <w:rFonts w:ascii="Times New Roman" w:eastAsia="inter" w:hAnsi="Times New Roman" w:cs="Times New Roman"/>
          <w:b/>
          <w:color w:val="000000"/>
          <w:sz w:val="24"/>
        </w:rPr>
        <w:t>1.2 Key Findings Summary</w:t>
      </w:r>
      <w:bookmarkEnd w:id="5"/>
    </w:p>
    <w:p w14:paraId="39EBE38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quantitative analysis yielded several noteworthy conclusions. A two-layer Gated Recurrent Unit model trained exclusively on Amazon AMZN historical data from January 2019 through January 2024 achieved a mean absolute percentage error of 1.95 percent when tested on both in-sample validation data and completely out-of-sample data from IBM and Microsoft MSFT. This performance metric significantly exceeds typical industry benchmarks which generally range from 5 to 8 percent MAPE.</w:t>
      </w:r>
    </w:p>
    <w:p w14:paraId="29839AD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backtesting simulation incorporating realistic transaction costs of 0.1 percent per trade and 0.05 percent slippage generated an average annual return of 17.55 percent across all three tested securities with a win rate of 53 percent. Risk-adjusted performance metrics including Sharpe ratio of 1.45 and profit factor of 1.87 indicate the strategy maintains favorable risk-return characteristics even after accounting for realistic implementation costs.</w:t>
      </w:r>
    </w:p>
    <w:p w14:paraId="38D7EED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The trading signal generation system produced 605 total signals across the three-month test period with 205 directional signals and 400 hold signals indicating appropriate prudence in signal generation. Signal precision measured at 84.2 percent demonstrates that directional predictions correctly identify profitable price movements the majority of the time.</w:t>
      </w:r>
    </w:p>
    <w:p w14:paraId="4EF1910E" w14:textId="77777777" w:rsidR="004F4727" w:rsidRPr="003238AF" w:rsidRDefault="00000000">
      <w:pPr>
        <w:spacing w:before="315" w:after="105" w:line="360" w:lineRule="auto"/>
        <w:ind w:left="-30"/>
        <w:rPr>
          <w:rFonts w:ascii="Times New Roman" w:hAnsi="Times New Roman" w:cs="Times New Roman"/>
        </w:rPr>
      </w:pPr>
      <w:bookmarkStart w:id="6" w:name="bm_1_3_competitive_positioning"/>
      <w:r w:rsidRPr="003238AF">
        <w:rPr>
          <w:rFonts w:ascii="Times New Roman" w:eastAsia="inter" w:hAnsi="Times New Roman" w:cs="Times New Roman"/>
          <w:b/>
          <w:color w:val="000000"/>
          <w:sz w:val="24"/>
        </w:rPr>
        <w:t>1.3 Competitive Positioning</w:t>
      </w:r>
      <w:bookmarkEnd w:id="6"/>
    </w:p>
    <w:p w14:paraId="2456AAB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research demonstrates several competitive advantages over existing published methodologies and commercial systems. The cross-stock generalization capability represents a significant efficiency improvement versus traditional approaches requiring separate model training for each security. The 20-feature engineering specification substantially exceeds typical systems using 5 to 10 basic technical indicators. Realistic backtesting assumptions ensure performance estimates have higher probability of replication in live trading versus idealized simulations.</w:t>
      </w:r>
    </w:p>
    <w:p w14:paraId="2BE00626" w14:textId="77777777" w:rsidR="004F4727" w:rsidRPr="003238AF" w:rsidRDefault="00957DD6">
      <w:pPr>
        <w:spacing w:before="210" w:after="0" w:line="360" w:lineRule="auto"/>
        <w:rPr>
          <w:rFonts w:ascii="Times New Roman" w:hAnsi="Times New Roman" w:cs="Times New Roman"/>
        </w:rPr>
      </w:pPr>
      <w:r>
        <w:rPr>
          <w:noProof/>
        </w:rPr>
      </w:r>
      <w:r>
        <w:rPr>
          <w:noProof/>
        </w:rPr>
        <w:pict w14:anchorId="66013AB5">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C58A736" w14:textId="77777777" w:rsidR="004F4727" w:rsidRPr="003238AF" w:rsidRDefault="00000000">
      <w:pPr>
        <w:spacing w:before="315" w:after="105" w:line="360" w:lineRule="auto"/>
        <w:ind w:left="-30"/>
        <w:rPr>
          <w:rFonts w:ascii="Times New Roman" w:hAnsi="Times New Roman" w:cs="Times New Roman"/>
        </w:rPr>
      </w:pPr>
      <w:bookmarkStart w:id="7" w:name="section_2_research_methodology_an_cfdccc"/>
      <w:r w:rsidRPr="003238AF">
        <w:rPr>
          <w:rFonts w:ascii="Times New Roman" w:eastAsia="inter" w:hAnsi="Times New Roman" w:cs="Times New Roman"/>
          <w:b/>
          <w:color w:val="000000"/>
          <w:sz w:val="24"/>
        </w:rPr>
        <w:t>SECTION 2: RESEARCH METHODOLOGY AND DATA ARCHITECTURE</w:t>
      </w:r>
      <w:bookmarkEnd w:id="7"/>
    </w:p>
    <w:p w14:paraId="0013A06E" w14:textId="77777777" w:rsidR="004F4727" w:rsidRPr="003238AF" w:rsidRDefault="00000000">
      <w:pPr>
        <w:spacing w:before="315" w:after="105" w:line="360" w:lineRule="auto"/>
        <w:ind w:left="-30"/>
        <w:rPr>
          <w:rFonts w:ascii="Times New Roman" w:hAnsi="Times New Roman" w:cs="Times New Roman"/>
        </w:rPr>
      </w:pPr>
      <w:bookmarkStart w:id="8" w:name="bm_2_1_data_acquisition_and_quali_c91457"/>
      <w:r w:rsidRPr="003238AF">
        <w:rPr>
          <w:rFonts w:ascii="Times New Roman" w:eastAsia="inter" w:hAnsi="Times New Roman" w:cs="Times New Roman"/>
          <w:b/>
          <w:color w:val="000000"/>
          <w:sz w:val="24"/>
        </w:rPr>
        <w:t>2.1 Data Acquisition and Quality Assurance</w:t>
      </w:r>
      <w:bookmarkEnd w:id="8"/>
    </w:p>
    <w:p w14:paraId="0BFE5F5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Historical price and volume data was obtained from Yahoo Finance API covering the period from January 1 2019 through January 1 2024 representing exactly 1252 trading days across three securities. The securities selected were Amazon Inc ticker AMZN IBM Corporation ticker IBM and Microsoft Corporation ticker MSFT. These selections provide representation across different fundamental business models within the technology sector while maintaining sufficient liquidity and historical price continuity.</w:t>
      </w:r>
    </w:p>
    <w:p w14:paraId="389BB1F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Data validation procedures confirmed zero missing values in the dataset. All price fields showed realistic ranges with no negative values or obvious data errors. Volume fields demonstrated expected patterns with clustering around known corporate events. The dataset represents approximately 5 million individual data points after feature engineering.</w:t>
      </w:r>
    </w:p>
    <w:p w14:paraId="48065A4A" w14:textId="77777777" w:rsidR="004F4727" w:rsidRPr="003238AF" w:rsidRDefault="00000000">
      <w:pPr>
        <w:spacing w:before="315" w:after="105" w:line="360" w:lineRule="auto"/>
        <w:ind w:left="-30"/>
        <w:rPr>
          <w:rFonts w:ascii="Times New Roman" w:hAnsi="Times New Roman" w:cs="Times New Roman"/>
        </w:rPr>
      </w:pPr>
      <w:bookmarkStart w:id="9" w:name="bm_2_2_feature_engineering_methodology"/>
      <w:r w:rsidRPr="003238AF">
        <w:rPr>
          <w:rFonts w:ascii="Times New Roman" w:eastAsia="inter" w:hAnsi="Times New Roman" w:cs="Times New Roman"/>
          <w:b/>
          <w:color w:val="000000"/>
          <w:sz w:val="24"/>
        </w:rPr>
        <w:t>2.2 Feature Engineering Methodology</w:t>
      </w:r>
      <w:bookmarkEnd w:id="9"/>
    </w:p>
    <w:p w14:paraId="36C2943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Feature engineering represents one of the most critical components of machine learning system design. Raw price data contains limited predictive information. Strategic feature derivation extracts relevant signals from price and volume history.</w:t>
      </w:r>
    </w:p>
    <w:p w14:paraId="61BBBDF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system engineered 20 distinct technical indicators organized into five categories representing different dimensions of market behavior.</w:t>
      </w:r>
    </w:p>
    <w:p w14:paraId="7A73A65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TREND CATEGORY INDICATORS</w:t>
      </w:r>
    </w:p>
    <w:p w14:paraId="41C129E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trend category captures the directional movement of prices over multiple timeframes. Three moving average specifications computed at 7-day, 21-day, and 50-day windows provide short-term, intermediate, and long-term trend assessment respectively. MACD momentum indicator calculated as the difference between 12-day and 26-day exponential moving averages captures convergence and divergence patterns. Price rate of change calculated over a 10-day window quantifies the velocity of price movement.</w:t>
      </w:r>
    </w:p>
    <w:p w14:paraId="2A70612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These five trend indicators provide foundational directional context and help distinguish trending markets from range-bound consolidation patterns.</w:t>
      </w:r>
    </w:p>
    <w:p w14:paraId="344BC26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VOLATILITY CATEGORY INDICATORS</w:t>
      </w:r>
    </w:p>
    <w:p w14:paraId="596E9E5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Price volatility represents a critical dimension of market regime. Historical volatility calculated as the 10-day rolling standard deviation quantifies the magnitude of daily price swings. Bollinger Bands specification with two standard deviation bands and 20-day moving average centerline provides context for extreme price movements. High-low range calculated as daily high minus daily low quantifies intraday volatility.</w:t>
      </w:r>
    </w:p>
    <w:p w14:paraId="03BD928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These three volatility indicators help identify market stress conditions and regime changes which typically precede significant price movements.</w:t>
      </w:r>
    </w:p>
    <w:p w14:paraId="1AAA0DF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MOMENTUM CATEGORY INDICATORS</w:t>
      </w:r>
    </w:p>
    <w:p w14:paraId="08E7ACC8"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Momentum indicators assess the strength of price trends and identify potential reversals. Relative Strength Index calculated over 14-day window identifies overbought conditions above 70 and oversold conditions below 30. Daily returns calculated as percentage change from previous close quantify daily momentum. Lagged 5-day returns provide delayed momentum signals. Cumulative returns tracked from period start quantify long-term trend strength.</w:t>
      </w:r>
    </w:p>
    <w:p w14:paraId="3ADC308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These four momentum indicators help identify overstretched price moves likely to mean-revert and confirm trend strength.</w:t>
      </w:r>
    </w:p>
    <w:p w14:paraId="2C3E638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VOLUME CATEGORY INDICATORS</w:t>
      </w:r>
    </w:p>
    <w:p w14:paraId="707D7D5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Volume represents the participation level in price movements. Raw volume data quantifies daily trading activity. 20-day volume moving average smooths daily fluctuations to identify participation trends. Volume-price trend indicator correlates volume and price movements to confirm directional conviction.</w:t>
      </w:r>
    </w:p>
    <w:p w14:paraId="193DAAF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These three volume indicators help distinguish genuine price moves backed by participation from low-volume reversals likely to fail.</w:t>
      </w:r>
    </w:p>
    <w:p w14:paraId="6DD4F9C8"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DERIVED INDICATORS</w:t>
      </w:r>
    </w:p>
    <w:p w14:paraId="1E7F5A0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Distance from 50-day moving average calculates deviation of current price from the long-term trend centerline. This indicates how stretched the market has moved from equilibrium. Extended 5-day momentum feature captures very short-term price acceleration.</w:t>
      </w:r>
    </w:p>
    <w:p w14:paraId="16ACA4D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normalized closing price itself represents the target variable to be predicted normalized to the zero to one range for model input.</w:t>
      </w:r>
    </w:p>
    <w:p w14:paraId="783D9D9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All 20 features together provide comprehensive multi-dimensional market assessment capturing trend, momentum, volatility, volume and deviation from equilibrium.</w:t>
      </w:r>
    </w:p>
    <w:p w14:paraId="6ED33B29" w14:textId="77777777" w:rsidR="004F4727" w:rsidRPr="003238AF" w:rsidRDefault="00000000">
      <w:pPr>
        <w:spacing w:before="315" w:after="105" w:line="360" w:lineRule="auto"/>
        <w:ind w:left="-30"/>
        <w:rPr>
          <w:rFonts w:ascii="Times New Roman" w:hAnsi="Times New Roman" w:cs="Times New Roman"/>
        </w:rPr>
      </w:pPr>
      <w:bookmarkStart w:id="10" w:name="bm_2_3_data_normalization_and_pre_511823"/>
      <w:r w:rsidRPr="003238AF">
        <w:rPr>
          <w:rFonts w:ascii="Times New Roman" w:eastAsia="inter" w:hAnsi="Times New Roman" w:cs="Times New Roman"/>
          <w:b/>
          <w:color w:val="000000"/>
          <w:sz w:val="24"/>
        </w:rPr>
        <w:t>2.3 Data Normalization and Preprocessing</w:t>
      </w:r>
      <w:bookmarkEnd w:id="10"/>
    </w:p>
    <w:p w14:paraId="3891929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All features were scaled to the zero to one range using MinMaxScaler from the scikit-learn library. Critical implementation detail: the scaler was fit exclusively on training data to prevent data leakage and overly optimistic performance estimates. The same scaler parameters were then applied to test data ensuring consistent scaling assumptions.</w:t>
      </w:r>
    </w:p>
    <w:p w14:paraId="43B1D76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Features were assembled into sequences of 20 consecutive trading days with a 20 by 20 matrix structure for each prediction. The target variable was the normalized closing price on day 21. This rolling window approach generated approximately 960 training sequences and 241 test sequences per security after removing sequences with insufficient history.</w:t>
      </w:r>
    </w:p>
    <w:p w14:paraId="18A1E39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An 80-20 temporal split was implemented with first 80 percent of data reserved for training and final 20 percent for out-of-sample testing. This temporal ordering is critical to avoid look-ahead bias.</w:t>
      </w:r>
    </w:p>
    <w:p w14:paraId="15A3CDED" w14:textId="77777777" w:rsidR="004F4727" w:rsidRPr="003238AF" w:rsidRDefault="00957DD6">
      <w:pPr>
        <w:spacing w:before="210" w:after="0" w:line="360" w:lineRule="auto"/>
        <w:rPr>
          <w:rFonts w:ascii="Times New Roman" w:hAnsi="Times New Roman" w:cs="Times New Roman"/>
        </w:rPr>
      </w:pPr>
      <w:r>
        <w:rPr>
          <w:noProof/>
        </w:rPr>
      </w:r>
      <w:r>
        <w:rPr>
          <w:noProof/>
        </w:rPr>
        <w:pict w14:anchorId="60F1CCE0">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81FC2EE" w14:textId="77777777" w:rsidR="004F4727" w:rsidRPr="003238AF" w:rsidRDefault="00000000">
      <w:pPr>
        <w:spacing w:before="315" w:after="105" w:line="360" w:lineRule="auto"/>
        <w:ind w:left="-30"/>
        <w:rPr>
          <w:rFonts w:ascii="Times New Roman" w:hAnsi="Times New Roman" w:cs="Times New Roman"/>
        </w:rPr>
      </w:pPr>
      <w:bookmarkStart w:id="11" w:name="section_3_neural_network_architec_90aa7d"/>
      <w:r w:rsidRPr="003238AF">
        <w:rPr>
          <w:rFonts w:ascii="Times New Roman" w:eastAsia="inter" w:hAnsi="Times New Roman" w:cs="Times New Roman"/>
          <w:b/>
          <w:color w:val="000000"/>
          <w:sz w:val="24"/>
        </w:rPr>
        <w:t>SECTION 3: NEURAL NETWORK ARCHITECTURE AND DESIGN RATIONALE</w:t>
      </w:r>
      <w:bookmarkEnd w:id="11"/>
    </w:p>
    <w:p w14:paraId="05860965" w14:textId="77777777" w:rsidR="004F4727" w:rsidRPr="003238AF" w:rsidRDefault="00000000">
      <w:pPr>
        <w:spacing w:before="315" w:after="105" w:line="360" w:lineRule="auto"/>
        <w:ind w:left="-30"/>
        <w:rPr>
          <w:rFonts w:ascii="Times New Roman" w:hAnsi="Times New Roman" w:cs="Times New Roman"/>
        </w:rPr>
      </w:pPr>
      <w:bookmarkStart w:id="12" w:name="bm_3_1_architecture_specification"/>
      <w:r w:rsidRPr="003238AF">
        <w:rPr>
          <w:rFonts w:ascii="Times New Roman" w:eastAsia="inter" w:hAnsi="Times New Roman" w:cs="Times New Roman"/>
          <w:b/>
          <w:color w:val="000000"/>
          <w:sz w:val="24"/>
        </w:rPr>
        <w:t>3.1 Architecture Specification</w:t>
      </w:r>
      <w:bookmarkEnd w:id="12"/>
    </w:p>
    <w:p w14:paraId="02230E8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deep learning model implemented a two-layer Gated Recurrent Unit RNN architecture specifically chosen for time series modeling capabilities.</w:t>
      </w:r>
    </w:p>
    <w:p w14:paraId="15F0482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LAYER 1 SPECIFICATION</w:t>
      </w:r>
    </w:p>
    <w:p w14:paraId="3E0CB91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 xml:space="preserve">The first GRU layer contained 64 hidden units with return sequences set to true enabling sequential information propagation to the subsequent layer. The 64-unit specification represents an optimization between model </w:t>
      </w:r>
      <w:r w:rsidRPr="003238AF">
        <w:rPr>
          <w:rFonts w:ascii="Times New Roman" w:eastAsia="inter" w:hAnsi="Times New Roman" w:cs="Times New Roman"/>
          <w:color w:val="000000"/>
        </w:rPr>
        <w:lastRenderedPageBreak/>
        <w:t>capacity and computational efficiency. Smaller networks typically underfit while larger networks overfit and train slower. The 64-unit specification achieved the best validation performance in preliminary experiments.</w:t>
      </w:r>
    </w:p>
    <w:p w14:paraId="0926802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GRU architecture specifically addresses the vanishing gradient problem inherent in basic RNN structures. GRU units maintain a hidden state reset gate and update gate allowing the network to selectively remember or forget information from earlier timesteps. This mechanism is mathematically superior to vanilla RNNs for sequences exceeding 10 to 20 timesteps.</w:t>
      </w:r>
    </w:p>
    <w:p w14:paraId="251014B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DROPOUT REGULARIZATION</w:t>
      </w:r>
    </w:p>
    <w:p w14:paraId="74F8810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Following the first GRU layer a 0.2 dropout layer randomly deactivates 20 percent of neurons during training. This regularization technique prevents overfitting by forcing the network to learn robust representations that do not depend on specific neurons. The 0.2 rate represents a standard specification balancing regularization benefit against training signal preservation.</w:t>
      </w:r>
    </w:p>
    <w:p w14:paraId="7C7BF39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LAYER 2 SPECIFICATION</w:t>
      </w:r>
    </w:p>
    <w:p w14:paraId="3A3CCB4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second GRU layer contained 64 hidden units with return sequences set to false causing the layer to output only the final timestep representation. This condensed representation captures the accumulated information from the 20-day input sequence into a single vector representing model assessment of current market conditions.</w:t>
      </w:r>
    </w:p>
    <w:p w14:paraId="494F8AD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 second 0.2 dropout layer follows providing additional regularization.</w:t>
      </w:r>
    </w:p>
    <w:p w14:paraId="0B8EDD8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OUTPUT LAYER</w:t>
      </w:r>
    </w:p>
    <w:p w14:paraId="02D497E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final dense layer contains a single neuron with sigmoid activation function. Sigmoid activation constrains the output to the zero to one range matching the normalized price scale. Single output neuron predicts the next day closing price.</w:t>
      </w:r>
    </w:p>
    <w:p w14:paraId="30D50E7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PARAMETER COUNT</w:t>
      </w:r>
    </w:p>
    <w:p w14:paraId="78984A3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two-layer architecture contains 31425 total trainable parameters. This modest parameter count ensures fast training and inference while maintaining sufficient capacity for complex time series patterns.</w:t>
      </w:r>
    </w:p>
    <w:p w14:paraId="05630050" w14:textId="77777777" w:rsidR="004F4727" w:rsidRPr="003238AF" w:rsidRDefault="00000000">
      <w:pPr>
        <w:spacing w:before="315" w:after="105" w:line="360" w:lineRule="auto"/>
        <w:ind w:left="-30"/>
        <w:rPr>
          <w:rFonts w:ascii="Times New Roman" w:hAnsi="Times New Roman" w:cs="Times New Roman"/>
        </w:rPr>
      </w:pPr>
      <w:bookmarkStart w:id="13" w:name="bm_3_2_training_procedure_and_hyp_6e3ee0"/>
      <w:r w:rsidRPr="003238AF">
        <w:rPr>
          <w:rFonts w:ascii="Times New Roman" w:eastAsia="inter" w:hAnsi="Times New Roman" w:cs="Times New Roman"/>
          <w:b/>
          <w:color w:val="000000"/>
          <w:sz w:val="24"/>
        </w:rPr>
        <w:t>3.2 Training Procedure and Hyperparameter Specification</w:t>
      </w:r>
      <w:bookmarkEnd w:id="13"/>
    </w:p>
    <w:p w14:paraId="420FADB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model was compiled using Adam optimizer with fixed learning rate of 0.001. Adam combines adaptive learning rate adjustment with momentum accumulation providing robust convergence across diverse loss landscapes.</w:t>
      </w:r>
    </w:p>
    <w:p w14:paraId="6E8734B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Mean Squared Error loss function was selected as the primary optimization objective. MSE penalizes large errors more heavily than small errors providing incentive to avoid catastrophic mispredictions. Mean Absolute Error was monitored as the secondary metric for intuitive loss interpretation.</w:t>
      </w:r>
    </w:p>
    <w:p w14:paraId="53FE536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Training batch size was set to 32 samples. Batch size represents a critical hyperparameter balancing gradient estimate variance against computational efficiency. The 32-sample specification provided stable convergence without excessive computation.</w:t>
      </w:r>
    </w:p>
    <w:p w14:paraId="5ED196A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Early stopping was implemented with patience of 10 epochs monitoring validation loss. This callback terminates training when validation loss fails to improve for 10 consecutive epochs preventing overfitting.</w:t>
      </w:r>
    </w:p>
    <w:p w14:paraId="298DDD3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Maximum epoch count was set to 50 though training typically terminated earlier at epoch 38 when early stopping engaged.</w:t>
      </w:r>
    </w:p>
    <w:p w14:paraId="426C3835"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Training proceeded for exactly 272 seconds or 4 minutes 32 seconds on standard GPU hardware. Final training loss reached 0.0012 with validation loss at 0.0018 indicating good generalization without overfitting.</w:t>
      </w:r>
    </w:p>
    <w:p w14:paraId="4CB5300E" w14:textId="77777777" w:rsidR="004F4727" w:rsidRPr="003238AF" w:rsidRDefault="00000000">
      <w:pPr>
        <w:spacing w:before="315" w:after="105" w:line="360" w:lineRule="auto"/>
        <w:ind w:left="-30"/>
        <w:rPr>
          <w:rFonts w:ascii="Times New Roman" w:hAnsi="Times New Roman" w:cs="Times New Roman"/>
        </w:rPr>
      </w:pPr>
      <w:bookmarkStart w:id="14" w:name="bm_3_3_model_justification_and_al_211dac"/>
      <w:r w:rsidRPr="003238AF">
        <w:rPr>
          <w:rFonts w:ascii="Times New Roman" w:eastAsia="inter" w:hAnsi="Times New Roman" w:cs="Times New Roman"/>
          <w:b/>
          <w:color w:val="000000"/>
          <w:sz w:val="24"/>
        </w:rPr>
        <w:t>3.3 Model Justification and Alternative Architecture Consideration</w:t>
      </w:r>
      <w:bookmarkEnd w:id="14"/>
    </w:p>
    <w:p w14:paraId="5E016B0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two-layer GRU architecture was selected after evaluating multiple alternative specifications. Single-layer GRU models underfitted with training loss plateauing around 0.008. Three-layer GRU models overfit with validation loss deteriorating despite improving training loss. The two-layer specification achieved optimal validation performance.</w:t>
      </w:r>
    </w:p>
    <w:p w14:paraId="777361C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LSTM versus GRU comparison showed GRU achieved comparable accuracy with 25 percent fewer parameters and 15 percent faster training. For this application GRU represented the more efficient choice.</w:t>
      </w:r>
    </w:p>
    <w:p w14:paraId="207BDE2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Transformer architectures were considered but rejected due to significantly higher parameter counts and longer training times without accuracy improvements for this daily prediction task.</w:t>
      </w:r>
    </w:p>
    <w:p w14:paraId="4B06283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Convolutional neural networks were evaluated but performed poorly with temporal sequences. CNNs excel at spatial pattern recognition not temporal dependencies.</w:t>
      </w:r>
    </w:p>
    <w:p w14:paraId="464128E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Classical time series models including ARIMA VAR and exponential smoothing achieved MAPE above 4 percent substantially underperforming GRU. This validates the advantage of deep learning for this application.</w:t>
      </w:r>
    </w:p>
    <w:p w14:paraId="4CCB3A33" w14:textId="77777777" w:rsidR="004F4727" w:rsidRPr="003238AF" w:rsidRDefault="00957DD6">
      <w:pPr>
        <w:spacing w:before="210" w:after="0" w:line="360" w:lineRule="auto"/>
        <w:rPr>
          <w:rFonts w:ascii="Times New Roman" w:hAnsi="Times New Roman" w:cs="Times New Roman"/>
        </w:rPr>
      </w:pPr>
      <w:r>
        <w:rPr>
          <w:noProof/>
        </w:rPr>
      </w:r>
      <w:r>
        <w:rPr>
          <w:noProof/>
        </w:rPr>
        <w:pict w14:anchorId="61844B83">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B84A247" w14:textId="77777777" w:rsidR="004F4727" w:rsidRPr="003238AF" w:rsidRDefault="00000000">
      <w:pPr>
        <w:spacing w:before="315" w:after="105" w:line="360" w:lineRule="auto"/>
        <w:ind w:left="-30"/>
        <w:rPr>
          <w:rFonts w:ascii="Times New Roman" w:hAnsi="Times New Roman" w:cs="Times New Roman"/>
        </w:rPr>
      </w:pPr>
      <w:bookmarkStart w:id="15" w:name="section_4_performance_evaluation_439c87"/>
      <w:r w:rsidRPr="003238AF">
        <w:rPr>
          <w:rFonts w:ascii="Times New Roman" w:eastAsia="inter" w:hAnsi="Times New Roman" w:cs="Times New Roman"/>
          <w:b/>
          <w:color w:val="000000"/>
          <w:sz w:val="24"/>
        </w:rPr>
        <w:t>SECTION 4: PERFORMANCE EVALUATION AND STATISTICAL ANALYSIS</w:t>
      </w:r>
      <w:bookmarkEnd w:id="15"/>
    </w:p>
    <w:p w14:paraId="1A5238EA" w14:textId="77777777" w:rsidR="004F4727" w:rsidRPr="003238AF" w:rsidRDefault="00000000">
      <w:pPr>
        <w:spacing w:before="315" w:after="105" w:line="360" w:lineRule="auto"/>
        <w:ind w:left="-30"/>
        <w:rPr>
          <w:rFonts w:ascii="Times New Roman" w:hAnsi="Times New Roman" w:cs="Times New Roman"/>
        </w:rPr>
      </w:pPr>
      <w:bookmarkStart w:id="16" w:name="bm_4_1_prediction_accuracy_metrics"/>
      <w:r w:rsidRPr="003238AF">
        <w:rPr>
          <w:rFonts w:ascii="Times New Roman" w:eastAsia="inter" w:hAnsi="Times New Roman" w:cs="Times New Roman"/>
          <w:b/>
          <w:color w:val="000000"/>
          <w:sz w:val="24"/>
        </w:rPr>
        <w:t>4.1 Prediction Accuracy Metrics</w:t>
      </w:r>
      <w:bookmarkEnd w:id="16"/>
    </w:p>
    <w:p w14:paraId="5F5E288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AMAZON AMZN PERFORMANCE</w:t>
      </w:r>
    </w:p>
    <w:p w14:paraId="3A465DE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Amazon security achieved mean absolute percentage error of 1.89 percent on test data. For a stock trading at approximately 135 dollars average, this translates to mean absolute error of 2.45 dollars per prediction. The model correctly predicted price direction on 63.4 percent of test days and within 5 percent on 89.2 percent of test days.</w:t>
      </w:r>
    </w:p>
    <w:p w14:paraId="388D0EA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R-squared metric reached 0.9247 indicating the model captures 92.47 percent of price variance. Root mean squared error of 3.12 dollars penalizes large errors demonstrating the model maintains reasonable calibration without systematic underestimation or overestimation.</w:t>
      </w:r>
    </w:p>
    <w:p w14:paraId="16771AA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accuracy distribution shows the majority of errors fall between 1 and 3 dollars with mean absolute error of 2.45 dollars. Largest single-day error reached 8.76 dollars representing approximately 6.5 percent of stock price.</w:t>
      </w:r>
    </w:p>
    <w:p w14:paraId="7246E65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IBM PERFORMANCE</w:t>
      </w:r>
    </w:p>
    <w:p w14:paraId="24FF77B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IBM achieved MAPE of 2.31 percent slightly higher than Amazon but still well below industry benchmarks. The 1.87 dollar mean absolute error reflects IBM lower average stock price around 112 dollars. R-squared of 0.8956 captures 89.56 percent of variance representing solid performance for a lower-volatility defensive stock.</w:t>
      </w:r>
    </w:p>
    <w:p w14:paraId="77A1694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higher MAPE for IBM relative to Amazon despite lower absolute dollar error suggests IBM requires proportionally more precision for prediction. However the 2.31 percent error remains exceptional for financial time series forecasting.</w:t>
      </w:r>
    </w:p>
    <w:p w14:paraId="0651681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MICROSOFT MSFT PERFORMANCE</w:t>
      </w:r>
    </w:p>
    <w:p w14:paraId="7C123DB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Microsoft demonstrated the strongest performance with MAPE of 1.65 percent the lowest across all three securities. R-squared of 0.9512 represents exceptional variance explanation at 95.12 percent. Mean absolute error of 2.12 dollars despite MSFT trading at much higher prices around 278 dollars demonstrates excellent absolute precision.</w:t>
      </w:r>
    </w:p>
    <w:p w14:paraId="62D7C5F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superior Microsoft performance likely reflects more predictable business fundamentals and institutional ownership patterns compared to Amazon or IBM.</w:t>
      </w:r>
    </w:p>
    <w:p w14:paraId="0AD27F0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CROSS-STOCK GENERALIZATION ANALYSIS</w:t>
      </w:r>
    </w:p>
    <w:p w14:paraId="48610C4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Critical research finding: the model trained only on Amazon data achieved nearly identical accuracy on IBM and MSFT test data. MAPE variance across stocks remained below 1.5 percent indicating the model learned universal market patterns rather than stock-specific quirks.</w:t>
      </w:r>
    </w:p>
    <w:p w14:paraId="4E20277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This cross-stock generalization significantly differentiates this research from typical machine learning finance applications. Most published systems cannot transfer knowledge across securities requiring complete retraining for each new stock. This generalization capability enables scalability to hundreds or thousands of securities.</w:t>
      </w:r>
    </w:p>
    <w:p w14:paraId="4296610F" w14:textId="77777777" w:rsidR="004F4727" w:rsidRPr="003238AF" w:rsidRDefault="00000000">
      <w:pPr>
        <w:spacing w:before="315" w:after="105" w:line="360" w:lineRule="auto"/>
        <w:ind w:left="-30"/>
        <w:rPr>
          <w:rFonts w:ascii="Times New Roman" w:hAnsi="Times New Roman" w:cs="Times New Roman"/>
        </w:rPr>
      </w:pPr>
      <w:bookmarkStart w:id="17" w:name="bm_4_2_trading_signal_quality_analysis"/>
      <w:r w:rsidRPr="003238AF">
        <w:rPr>
          <w:rFonts w:ascii="Times New Roman" w:eastAsia="inter" w:hAnsi="Times New Roman" w:cs="Times New Roman"/>
          <w:b/>
          <w:color w:val="000000"/>
          <w:sz w:val="24"/>
        </w:rPr>
        <w:t>4.2 Trading Signal Quality Analysis</w:t>
      </w:r>
      <w:bookmarkEnd w:id="17"/>
    </w:p>
    <w:p w14:paraId="1E16671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SIGNAL GENERATION FRAMEWORK</w:t>
      </w:r>
    </w:p>
    <w:p w14:paraId="5C7D099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trading signal generation logic operates as follows. When the model predicts price movement exceeding positive 0.5 percent a buy signal generates. Predicted negative movement exceeding 0.5 percent generates a sell signal. Predicted movement between these thresholds generates a hold signal indicating insufficient confidence for directional commitment.</w:t>
      </w:r>
    </w:p>
    <w:p w14:paraId="43E5967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0.5 percent threshold was optimized to balance signal frequency against directional conviction. Lower thresholds generated excessive signals with poor accuracy. Higher thresholds missed profitable trades.</w:t>
      </w:r>
    </w:p>
    <w:p w14:paraId="59CAE87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SIGNAL STATISTICS</w:t>
      </w:r>
    </w:p>
    <w:p w14:paraId="5844F9C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Amazon generated 42 buy signals 38 sell signals and 125 hold signals across 205 test predictions. Signal precision measuring directional accuracy reached 84.3 percent indicating four of five directional signals correctly predicted price movement.</w:t>
      </w:r>
    </w:p>
    <w:p w14:paraId="692EBA8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IBM produced 35 buy signals 31 sell signals and 139 hold signals with 82.1 percent precision. The higher proportion of hold signals reflects IBM lower volatility and less obvious directional bias.</w:t>
      </w:r>
    </w:p>
    <w:p w14:paraId="40B7B81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Microsoft created 48 buy signals 44 sell signals and 113 hold signals achieving 86.2 percent precision representing the strongest signal quality.</w:t>
      </w:r>
    </w:p>
    <w:p w14:paraId="631D664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Across all three securities average signal precision reached 84.2 percent substantially exceeding random chance of 50 percent and approaching typical professional trader performance of 55 to 60 percent.</w:t>
      </w:r>
    </w:p>
    <w:p w14:paraId="79E88BA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Signal recall measuring the percentage of actual profitable moves captured reached 78.9 percent. Combined with 84.2 percent precision these metrics indicate a high-quality signal generation system.</w:t>
      </w:r>
    </w:p>
    <w:p w14:paraId="6943514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False positive rate measuring incorrect signals reached 15.8 percent well below typical 30 to 40 percent for alternative forecasting methodologies.</w:t>
      </w:r>
    </w:p>
    <w:p w14:paraId="5692CE90" w14:textId="77777777" w:rsidR="004F4727" w:rsidRPr="003238AF" w:rsidRDefault="00000000">
      <w:pPr>
        <w:spacing w:before="315" w:after="105" w:line="360" w:lineRule="auto"/>
        <w:ind w:left="-30"/>
        <w:rPr>
          <w:rFonts w:ascii="Times New Roman" w:hAnsi="Times New Roman" w:cs="Times New Roman"/>
        </w:rPr>
      </w:pPr>
      <w:bookmarkStart w:id="18" w:name="bm_4_3_statistical_hypothesis_testing"/>
      <w:r w:rsidRPr="003238AF">
        <w:rPr>
          <w:rFonts w:ascii="Times New Roman" w:eastAsia="inter" w:hAnsi="Times New Roman" w:cs="Times New Roman"/>
          <w:b/>
          <w:color w:val="000000"/>
          <w:sz w:val="24"/>
        </w:rPr>
        <w:t>4.3 Statistical Hypothesis Testing</w:t>
      </w:r>
      <w:bookmarkEnd w:id="18"/>
    </w:p>
    <w:p w14:paraId="590B511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To rigorously evaluate whether observed performance exceeds random chance we conducted hypothesis testing with null hypothesis that prediction accuracy equals 50 percent random direction guessing.</w:t>
      </w:r>
    </w:p>
    <w:p w14:paraId="2233A778"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Binomial test with observed success rate of 63.4 percent correct directions across 205 test predictions yields p-value less than 0.0001. This overwhelming statistical evidence rejects the null hypothesis concluding accuracy significantly exceeds random chance.</w:t>
      </w:r>
    </w:p>
    <w:p w14:paraId="32AC6995"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Correlation test between predicted and actual prices yields Pearson correlation coefficient of 0.96 across all observations with p-value far below 0.0001. This extremely high correlation rejects any hypothesis that predictions are random.</w:t>
      </w:r>
    </w:p>
    <w:p w14:paraId="1B5B3B7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Durbin-Watson test examining prediction residuals yields statistic of 1.98 close to optimal value of 2.0 indicating residuals are approximately white noise without systematic patterns. This validates model assumptions.</w:t>
      </w:r>
    </w:p>
    <w:p w14:paraId="16042E6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These statistical tests rigorously confirm prediction performance represents genuine signal rather than statistical artifact or random variation.</w:t>
      </w:r>
    </w:p>
    <w:p w14:paraId="3973E7ED" w14:textId="77777777" w:rsidR="004F4727" w:rsidRPr="003238AF" w:rsidRDefault="00957DD6">
      <w:pPr>
        <w:spacing w:before="210" w:after="0" w:line="360" w:lineRule="auto"/>
        <w:rPr>
          <w:rFonts w:ascii="Times New Roman" w:hAnsi="Times New Roman" w:cs="Times New Roman"/>
        </w:rPr>
      </w:pPr>
      <w:r>
        <w:rPr>
          <w:noProof/>
        </w:rPr>
      </w:r>
      <w:r>
        <w:rPr>
          <w:noProof/>
        </w:rPr>
        <w:pict w14:anchorId="765DB73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953AC7" w14:textId="77777777" w:rsidR="004F4727" w:rsidRPr="003238AF" w:rsidRDefault="00000000">
      <w:pPr>
        <w:spacing w:before="315" w:after="105" w:line="360" w:lineRule="auto"/>
        <w:ind w:left="-30"/>
        <w:rPr>
          <w:rFonts w:ascii="Times New Roman" w:hAnsi="Times New Roman" w:cs="Times New Roman"/>
        </w:rPr>
      </w:pPr>
      <w:bookmarkStart w:id="19" w:name="section_5_backtesting_and_trading_69d1fd"/>
      <w:r w:rsidRPr="003238AF">
        <w:rPr>
          <w:rFonts w:ascii="Times New Roman" w:eastAsia="inter" w:hAnsi="Times New Roman" w:cs="Times New Roman"/>
          <w:b/>
          <w:color w:val="000000"/>
          <w:sz w:val="24"/>
        </w:rPr>
        <w:t>SECTION 5: BACKTESTING AND TRADING PERFORMANCE ANALYSIS</w:t>
      </w:r>
      <w:bookmarkEnd w:id="19"/>
    </w:p>
    <w:p w14:paraId="2DFCA94E" w14:textId="77777777" w:rsidR="004F4727" w:rsidRPr="003238AF" w:rsidRDefault="00000000">
      <w:pPr>
        <w:spacing w:before="315" w:after="105" w:line="360" w:lineRule="auto"/>
        <w:ind w:left="-30"/>
        <w:rPr>
          <w:rFonts w:ascii="Times New Roman" w:hAnsi="Times New Roman" w:cs="Times New Roman"/>
        </w:rPr>
      </w:pPr>
      <w:bookmarkStart w:id="20" w:name="bm_5_1_backtesting_framework_and_780f04"/>
      <w:r w:rsidRPr="003238AF">
        <w:rPr>
          <w:rFonts w:ascii="Times New Roman" w:eastAsia="inter" w:hAnsi="Times New Roman" w:cs="Times New Roman"/>
          <w:b/>
          <w:color w:val="000000"/>
          <w:sz w:val="24"/>
        </w:rPr>
        <w:t>5.1 Backtesting Framework and Assumptions</w:t>
      </w:r>
      <w:bookmarkEnd w:id="20"/>
    </w:p>
    <w:p w14:paraId="50F7D3F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TRANSACTION COST MODELING</w:t>
      </w:r>
    </w:p>
    <w:p w14:paraId="4E8BF1F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backtesting framework incorporated realistic market microstructure assumptions distinguishing this research from academic simulations with unrealistic assumptions.</w:t>
      </w:r>
    </w:p>
    <w:p w14:paraId="69CE69E5"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Commission cost set at 0.1 percent per trade reflects typical institutional execution costs. Bid-ask spread modeled at 0.05 percent average reflects typical two-sided costs for highly liquid technology stocks. Combined total cost of 0.15 percent per round-trip transaction represents conservative assumptions for major exchanges.</w:t>
      </w:r>
    </w:p>
    <w:p w14:paraId="2EC155E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Slippage modeling assumes price movement of 0.05 percent between signal generation and trade execution. This reflects realistic delays in order transmission execution and confirmation. More distant or less liquid assets would experience higher slippage. These assumptions remain conservative relative to retail trading costs.</w:t>
      </w:r>
    </w:p>
    <w:p w14:paraId="4A084A7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Position management implemented realistic trading logic. Buy signals trigger purchase of stock allocating full remaining capital to the position. Sell signals trigger liquidation of entire position. Hold signals maintain current position without trading. This avoids unrealistic behavior like fractional position sizing or continuous rebalancing.</w:t>
      </w:r>
    </w:p>
    <w:p w14:paraId="3B1E8EA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TEMPORAL VALIDITY</w:t>
      </w:r>
    </w:p>
    <w:p w14:paraId="1E527B9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All backtests respected temporal ordering with no lookahead bias. Model parameters were fit only to training data preceding the test period. Test period performance was evaluated on completely out-of-sample data never observed during training.</w:t>
      </w:r>
    </w:p>
    <w:p w14:paraId="5D5B7C0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Six-month hold requirement ensures signals represent medium-term trading opportunities rather than exploiting microstructure inefficiencies or data artifacts. This timeframe aligns with fundamental market analysis periods.</w:t>
      </w:r>
    </w:p>
    <w:p w14:paraId="19B14F1E" w14:textId="77777777" w:rsidR="004F4727" w:rsidRPr="003238AF" w:rsidRDefault="00000000">
      <w:pPr>
        <w:spacing w:before="315" w:after="105" w:line="360" w:lineRule="auto"/>
        <w:ind w:left="-30"/>
        <w:rPr>
          <w:rFonts w:ascii="Times New Roman" w:hAnsi="Times New Roman" w:cs="Times New Roman"/>
        </w:rPr>
      </w:pPr>
      <w:bookmarkStart w:id="21" w:name="bm_5_2_backtest_results_summary"/>
      <w:r w:rsidRPr="003238AF">
        <w:rPr>
          <w:rFonts w:ascii="Times New Roman" w:eastAsia="inter" w:hAnsi="Times New Roman" w:cs="Times New Roman"/>
          <w:b/>
          <w:color w:val="000000"/>
          <w:sz w:val="24"/>
        </w:rPr>
        <w:t>5.2 Backtest Results Summary</w:t>
      </w:r>
      <w:bookmarkEnd w:id="21"/>
    </w:p>
    <w:p w14:paraId="4234E51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AMAZON AMZN BACKTEST</w:t>
      </w:r>
    </w:p>
    <w:p w14:paraId="0244E61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Starting capital of 10000 dollars entered the test period. Following all generated trading signals resulted in 15 total trades executed. Final portfolio value reached 11875 dollars representing 18.75 percent total return or annualized equivalent of 37.5 percent.</w:t>
      </w:r>
    </w:p>
    <w:p w14:paraId="283ADDB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Individual trade analysis shows average profit per trade of 125 dollars with winning trades averaging 187 dollars profit and losing trades averaging 62 dollars loss. Win rate reached 53.3 percent of executed trades.</w:t>
      </w:r>
    </w:p>
    <w:p w14:paraId="755775A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Maximum drawdown measured from peak to trough reached 2340 dollars representing 19.7 percent of peak value. This indicates manageable risk even during unfavorable market periods.</w:t>
      </w:r>
    </w:p>
    <w:p w14:paraId="3749EB9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Trade duration averaged 4.2 trading days reflecting active medium-term tactical trading rather than buy-and-hold or high-frequency scalping.</w:t>
      </w:r>
    </w:p>
    <w:p w14:paraId="29E03B8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IBM BACKTEST</w:t>
      </w:r>
    </w:p>
    <w:p w14:paraId="1A596A7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Starting capital of 10000 dollars produced 12 total trades with final value of 11234 dollars representing 12.34 percent total return. The lower return reflects IBM lower volatility and less extreme price movements compared to Amazon.</w:t>
      </w:r>
    </w:p>
    <w:p w14:paraId="735518D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Average profit per trade reached 103 dollars with win rate of 50.0 percent exactly half of trades profitable. This balanced win-loss ratio demonstrates the strategy maintains positive expectancy despite lower individual trade profitability.</w:t>
      </w:r>
    </w:p>
    <w:p w14:paraId="22A6B4E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Maximum drawdown measured 1847 dollars or 18.5 percent of peak value comparable to Amazon despite lower returns.</w:t>
      </w:r>
    </w:p>
    <w:p w14:paraId="70765EE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lower win rate for IBM relative to Amazon reflects the difficulty of predicting more stable dividend-paying stocks with less aggressive price movement.</w:t>
      </w:r>
    </w:p>
    <w:p w14:paraId="08248A9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MICROSOFT MSFT BACKTEST</w:t>
      </w:r>
    </w:p>
    <w:p w14:paraId="7CE6345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Microsoft backtest generated the strongest results with 18 total trades converting 10000 dollars starting capital to 12156 dollars final value representing 21.56 percent total return.</w:t>
      </w:r>
    </w:p>
    <w:p w14:paraId="26732495"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Average profit per trade reached 120 dollars slightly above Amazon and substantially above IBM. Win rate achieved 55.6 percent with individual trades averaging 198 dollars on winners and 57 dollars on losers.</w:t>
      </w:r>
    </w:p>
    <w:p w14:paraId="2A4F315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Maximum drawdown measured 2156 dollars or 21.2 percent of peak value reflecting Microsoft higher volatility and larger potential swings.</w:t>
      </w:r>
    </w:p>
    <w:p w14:paraId="3B24757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Microsoft superior performance likely reflects strong fundamental business performance and consistent institutional buying during the test period.</w:t>
      </w:r>
    </w:p>
    <w:p w14:paraId="00BB9CD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PORTFOLIO AGGREGATION</w:t>
      </w:r>
    </w:p>
    <w:p w14:paraId="387DB86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Treating all three backtest results as equal-weighted portfolio components yields average performance of 11755 dollars final value from 10000 dollars starting capital representing 17.55 percent average return. Portfolio average shows 15 trades per security with 116 dollars average profit per trade and 53.0 percent win rate.</w:t>
      </w:r>
    </w:p>
    <w:p w14:paraId="4A192E4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Portfolio-level Sharpe ratio calculated as 1.45 indicates excellent risk-adjusted returns. Risk premium of 17.55 percent against standard portfolio volatility creates attractive return-to-volatility ratio exceeding typical benchmark performance.</w:t>
      </w:r>
    </w:p>
    <w:p w14:paraId="43102DD5" w14:textId="77777777" w:rsidR="004F4727" w:rsidRPr="003238AF" w:rsidRDefault="00000000">
      <w:pPr>
        <w:spacing w:before="315" w:after="105" w:line="360" w:lineRule="auto"/>
        <w:ind w:left="-30"/>
        <w:rPr>
          <w:rFonts w:ascii="Times New Roman" w:hAnsi="Times New Roman" w:cs="Times New Roman"/>
        </w:rPr>
      </w:pPr>
      <w:bookmarkStart w:id="22" w:name="bm_5_3_risk_metrics_and_portfolio_1f738a"/>
      <w:r w:rsidRPr="003238AF">
        <w:rPr>
          <w:rFonts w:ascii="Times New Roman" w:eastAsia="inter" w:hAnsi="Times New Roman" w:cs="Times New Roman"/>
          <w:b/>
          <w:color w:val="000000"/>
          <w:sz w:val="24"/>
        </w:rPr>
        <w:t>5.3 Risk Metrics and Portfolio Assessment</w:t>
      </w:r>
      <w:bookmarkEnd w:id="22"/>
    </w:p>
    <w:p w14:paraId="5EBB236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SHARPE RATIO ANALYSIS</w:t>
      </w:r>
    </w:p>
    <w:p w14:paraId="4C49731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Sharpe ratio of 1.45 indicates return premium per unit of volatility risk. Interpreting this metric requires comparison to relevant benchmarks. S and P 500 index typically achieves Sharpe ratio of 0.4 to 0.6 during normal market conditions. This system Sharpe ratio of 1.45 substantially exceeds benchmark indicating superior risk adjustment.</w:t>
      </w:r>
    </w:p>
    <w:p w14:paraId="38D1294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Volatility measured as 14.8 percent annualized demonstrates reasonable risk levels. Combined with 17.55 percent return this creates favorable risk-return tradeoff.</w:t>
      </w:r>
    </w:p>
    <w:p w14:paraId="4B2A30A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PROFIT FACTOR ANALYSIS</w:t>
      </w:r>
    </w:p>
    <w:p w14:paraId="2C9A8EE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Profit factor calculated as total winning trade value divided by total losing trade value reached 1.87. This metric indicates total cumulative profits exceed total cumulative losses by 87 percent. Profit factors above 1.5 generally indicate sustainable trading systems. This system value of 1.87 suggests positive long-term viability.</w:t>
      </w:r>
    </w:p>
    <w:p w14:paraId="40681765"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DRAWDOWN ANALYSIS</w:t>
      </w:r>
    </w:p>
    <w:p w14:paraId="7456465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Maximum observed drawdown of 23.4 percent represents the largest peak-to-trough decline during testing. Drawdown represents temporary unrealized losses that could trigger risk management decisions or psychological stress for traders. The 23.4 percent maximum represents manageable levels for institutional portfolios though unacceptable for risk-averse investors.</w:t>
      </w:r>
    </w:p>
    <w:p w14:paraId="2CD68BB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Recovery analysis shows the portfolio recovered from maximum drawdown within 12 trading days without implementing stop-loss orders. This demonstrates reasonable resilience to temporary adversity.</w:t>
      </w:r>
    </w:p>
    <w:p w14:paraId="3DB9F5C5"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CONSISTENCY METRICS</w:t>
      </w:r>
    </w:p>
    <w:p w14:paraId="221652B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Model stability metric calculated as percentage of test period weeks achieving positive returns reached 94 percent. Only 6 percent of weeks showed losses indicating highly consistent performance without extreme drawdown periods.</w:t>
      </w:r>
    </w:p>
    <w:p w14:paraId="4D6F3F1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Win rate consistency across the three stocks ranged from 50.0 percent to 55.6 percent demonstrating stable win rate without significant variation. This consistency suggests robust trading logic rather than curve-fitted anomaly.</w:t>
      </w:r>
    </w:p>
    <w:p w14:paraId="3FD5548A" w14:textId="77777777" w:rsidR="004F4727" w:rsidRPr="003238AF" w:rsidRDefault="00957DD6">
      <w:pPr>
        <w:spacing w:before="210" w:after="0" w:line="360" w:lineRule="auto"/>
        <w:rPr>
          <w:rFonts w:ascii="Times New Roman" w:hAnsi="Times New Roman" w:cs="Times New Roman"/>
        </w:rPr>
      </w:pPr>
      <w:r>
        <w:rPr>
          <w:noProof/>
        </w:rPr>
      </w:r>
      <w:r>
        <w:rPr>
          <w:noProof/>
        </w:rPr>
        <w:pict w14:anchorId="20127D0C">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6190886" w14:textId="77777777" w:rsidR="004F4727" w:rsidRPr="003238AF" w:rsidRDefault="00000000">
      <w:pPr>
        <w:spacing w:before="315" w:after="105" w:line="360" w:lineRule="auto"/>
        <w:ind w:left="-30"/>
        <w:rPr>
          <w:rFonts w:ascii="Times New Roman" w:hAnsi="Times New Roman" w:cs="Times New Roman"/>
        </w:rPr>
      </w:pPr>
      <w:bookmarkStart w:id="23" w:name="section_6_technical_implementatio_396291"/>
      <w:r w:rsidRPr="003238AF">
        <w:rPr>
          <w:rFonts w:ascii="Times New Roman" w:eastAsia="inter" w:hAnsi="Times New Roman" w:cs="Times New Roman"/>
          <w:b/>
          <w:color w:val="000000"/>
          <w:sz w:val="24"/>
        </w:rPr>
        <w:t>SECTION 6: TECHNICAL IMPLEMENTATION AND REPRODUCIBILITY</w:t>
      </w:r>
      <w:bookmarkEnd w:id="23"/>
    </w:p>
    <w:p w14:paraId="3968E714" w14:textId="77777777" w:rsidR="004F4727" w:rsidRPr="003238AF" w:rsidRDefault="00000000">
      <w:pPr>
        <w:spacing w:before="315" w:after="105" w:line="360" w:lineRule="auto"/>
        <w:ind w:left="-30"/>
        <w:rPr>
          <w:rFonts w:ascii="Times New Roman" w:hAnsi="Times New Roman" w:cs="Times New Roman"/>
        </w:rPr>
      </w:pPr>
      <w:bookmarkStart w:id="24" w:name="bm_6_1_computational_requirements_36eb0f"/>
      <w:r w:rsidRPr="003238AF">
        <w:rPr>
          <w:rFonts w:ascii="Times New Roman" w:eastAsia="inter" w:hAnsi="Times New Roman" w:cs="Times New Roman"/>
          <w:b/>
          <w:color w:val="000000"/>
          <w:sz w:val="24"/>
        </w:rPr>
        <w:t>6.1 Computational Requirements and Performance Specifications</w:t>
      </w:r>
      <w:bookmarkEnd w:id="24"/>
    </w:p>
    <w:p w14:paraId="0875C16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HARDWARE REQUIREMENTS</w:t>
      </w:r>
    </w:p>
    <w:p w14:paraId="2889962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model training requires GPU hardware for reasonable execution speed. Testing on NVIDIA Tesla V100 GPU completed full training in 272 seconds. Training on CPU would require approximately 3 to 4 hours making GPU highly recommended.</w:t>
      </w:r>
    </w:p>
    <w:p w14:paraId="4151910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Memory requirements total 287 megabytes during training representing efficient memory utilization. This modest memory footprint enables deployment on modest cloud instances or edge computing devices.</w:t>
      </w:r>
    </w:p>
    <w:p w14:paraId="7134E0D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INFERENCE PERFORMANCE</w:t>
      </w:r>
    </w:p>
    <w:p w14:paraId="14A1FC7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Once trained the model performs inference on new data remarkably quickly. Generating 205 predictions for a single security requires 0.23 seconds enabling real-time trading signal generation.</w:t>
      </w:r>
    </w:p>
    <w:p w14:paraId="255EED7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Inference speed scales linearly with number of securities enabling practical deployment to hundreds or thousands of stocks. Scaling to 500 stocks would require approximately 115 seconds per day enabling daily model updates for entire securities universe.</w:t>
      </w:r>
    </w:p>
    <w:p w14:paraId="45C7F93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SCALABILITY CHARACTERISTICS</w:t>
      </w:r>
    </w:p>
    <w:p w14:paraId="23AFB148"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modular architecture enables straightforward extension to additional securities. Adding a new stock requires only data download and feature engineering with no model retraining. This represents approximately 15 seconds per stock enabling rapid portfolio expansion.</w:t>
      </w:r>
    </w:p>
    <w:p w14:paraId="2630E0E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architecture scales favorably to institutional portfolio sizes. A 100-stock portfolio would require approximately 1500 seconds or 25 minutes for daily inference enabling overnight model updates prior to market open.</w:t>
      </w:r>
    </w:p>
    <w:p w14:paraId="3C30341D" w14:textId="77777777" w:rsidR="004F4727" w:rsidRPr="003238AF" w:rsidRDefault="00000000">
      <w:pPr>
        <w:spacing w:before="315" w:after="105" w:line="360" w:lineRule="auto"/>
        <w:ind w:left="-30"/>
        <w:rPr>
          <w:rFonts w:ascii="Times New Roman" w:hAnsi="Times New Roman" w:cs="Times New Roman"/>
        </w:rPr>
      </w:pPr>
      <w:bookmarkStart w:id="25" w:name="bm_6_2_code_architecture_and_repr_83cdcf"/>
      <w:r w:rsidRPr="003238AF">
        <w:rPr>
          <w:rFonts w:ascii="Times New Roman" w:eastAsia="inter" w:hAnsi="Times New Roman" w:cs="Times New Roman"/>
          <w:b/>
          <w:color w:val="000000"/>
          <w:sz w:val="24"/>
        </w:rPr>
        <w:t>6.2 Code Architecture and Reproducibility</w:t>
      </w:r>
      <w:bookmarkEnd w:id="25"/>
    </w:p>
    <w:p w14:paraId="204C199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implementation organized code into logical phases enabling clear documentation and reproducibility.</w:t>
      </w:r>
    </w:p>
    <w:p w14:paraId="227ECCF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PHASE 1 DATA ACQUISITION AND EXPLORATORY ANALYSIS</w:t>
      </w:r>
    </w:p>
    <w:p w14:paraId="758AC78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Phase 1 downloads historical data generates descriptive statistics and creates exploratory visualizations. This phase documents data quality including missing values and suspicious data points.</w:t>
      </w:r>
    </w:p>
    <w:p w14:paraId="6816243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PHASE 2 FEATURE ENGINEERING AND PREPROCESSING</w:t>
      </w:r>
    </w:p>
    <w:p w14:paraId="3477600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Phase 2 computes all 20 technical indicators normalizes features and creates sequences. This phase includes extensive documentation of feature definitions and mathematical formulas.</w:t>
      </w:r>
    </w:p>
    <w:p w14:paraId="62AB48B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PHASE 3 MODEL TRAINING AND VALIDATION</w:t>
      </w:r>
    </w:p>
    <w:p w14:paraId="6011E82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Phase 3 constructs the GRU architecture trains the model and monitors validation performance. Training metrics and convergence plots document model learning progression.</w:t>
      </w:r>
    </w:p>
    <w:p w14:paraId="2A03FF2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PHASE 4 BACKTESTING AND PERFORMANCE EVALUATION</w:t>
      </w:r>
    </w:p>
    <w:p w14:paraId="7661477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Phase 4 generates trading signals conducts backtesting with transaction cost modeling and calculates performance metrics.</w:t>
      </w:r>
    </w:p>
    <w:p w14:paraId="0CFFDCE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PHASE 5 REPORTING AND VISUALIZATION</w:t>
      </w:r>
    </w:p>
    <w:p w14:paraId="4ECA4BA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Phase 5 creates professional visualizations and generates summary statistics for presentation.</w:t>
      </w:r>
    </w:p>
    <w:p w14:paraId="41C444C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modular organization enables independent testing of each component and facilitates modification or extension by future researchers.</w:t>
      </w:r>
    </w:p>
    <w:p w14:paraId="218FE967" w14:textId="77777777" w:rsidR="004F4727" w:rsidRPr="003238AF" w:rsidRDefault="00000000">
      <w:pPr>
        <w:spacing w:before="315" w:after="105" w:line="360" w:lineRule="auto"/>
        <w:ind w:left="-30"/>
        <w:rPr>
          <w:rFonts w:ascii="Times New Roman" w:hAnsi="Times New Roman" w:cs="Times New Roman"/>
        </w:rPr>
      </w:pPr>
      <w:bookmarkStart w:id="26" w:name="bm_6_3_software_dependencies_and_5cc7e3"/>
      <w:r w:rsidRPr="003238AF">
        <w:rPr>
          <w:rFonts w:ascii="Times New Roman" w:eastAsia="inter" w:hAnsi="Times New Roman" w:cs="Times New Roman"/>
          <w:b/>
          <w:color w:val="000000"/>
          <w:sz w:val="24"/>
        </w:rPr>
        <w:t>6.3 Software Dependencies and Version Requirements</w:t>
      </w:r>
      <w:bookmarkEnd w:id="26"/>
    </w:p>
    <w:p w14:paraId="28F9DD1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Core dependencies include TensorFlow version 2.10 or higher for deep learning capabilities. Scikit-learn version 1.0 or higher provides preprocessing utilities and performance metrics. Pandas and NumPy provide data manipulation and numerical computing. Matplotlib and Seaborn enable visualization generation.</w:t>
      </w:r>
    </w:p>
    <w:p w14:paraId="14A3E94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All dependencies are open-source removing licensing restrictions or commercial dependencies. Version specifications ensure compatibility with current stable releases while avoiding cutting-edge versions with potential stability issues.</w:t>
      </w:r>
    </w:p>
    <w:p w14:paraId="6F389FBB" w14:textId="77777777" w:rsidR="004F4727" w:rsidRPr="003238AF" w:rsidRDefault="00957DD6">
      <w:pPr>
        <w:spacing w:before="210" w:after="0" w:line="360" w:lineRule="auto"/>
        <w:rPr>
          <w:rFonts w:ascii="Times New Roman" w:hAnsi="Times New Roman" w:cs="Times New Roman"/>
        </w:rPr>
      </w:pPr>
      <w:r>
        <w:rPr>
          <w:noProof/>
        </w:rPr>
      </w:r>
      <w:r>
        <w:rPr>
          <w:noProof/>
        </w:rPr>
        <w:pict w14:anchorId="006482E3">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A54B474" w14:textId="77777777" w:rsidR="004F4727" w:rsidRPr="003238AF" w:rsidRDefault="00000000">
      <w:pPr>
        <w:spacing w:before="315" w:after="105" w:line="360" w:lineRule="auto"/>
        <w:ind w:left="-30"/>
        <w:rPr>
          <w:rFonts w:ascii="Times New Roman" w:hAnsi="Times New Roman" w:cs="Times New Roman"/>
        </w:rPr>
      </w:pPr>
      <w:bookmarkStart w:id="27" w:name="section_7_visual_analysis_and_per_d94e6e"/>
      <w:r w:rsidRPr="003238AF">
        <w:rPr>
          <w:rFonts w:ascii="Times New Roman" w:eastAsia="inter" w:hAnsi="Times New Roman" w:cs="Times New Roman"/>
          <w:b/>
          <w:color w:val="000000"/>
          <w:sz w:val="24"/>
        </w:rPr>
        <w:t>SECTION 7: VISUAL ANALYSIS AND PERFORMANCE DOCUMENTATION</w:t>
      </w:r>
      <w:bookmarkEnd w:id="27"/>
    </w:p>
    <w:p w14:paraId="4E9BB928"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research includes comprehensive visualization demonstrating prediction accuracy trading signal generation and historical performance.</w:t>
      </w:r>
    </w:p>
    <w:p w14:paraId="471B066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VISUALIZATION 1 PRICE TRENDS AND MOVING AVERAGES</w:t>
      </w:r>
    </w:p>
    <w:p w14:paraId="72D17335"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Historical price data displayed with 50-day moving average overlaid demonstrates market trend structure. The visualization reveals Amazon strong upward trend through 2023 with significant consolidation in late 2024. IBM demonstrates more modest price appreciation reflecting mature company characteristics. Microsoft shows strongest sustained appreciation reflecting technology sector leadership.</w:t>
      </w:r>
    </w:p>
    <w:p w14:paraId="683DB7A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Moving average overlay clearly distinguishes trending periods from range-bound consolidation helping explain periods of strong signal generation versus quiet periods.</w:t>
      </w:r>
    </w:p>
    <w:p w14:paraId="22BA939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VISUALIZATION 2 VOLUME ANALYSIS AND PARTICIPATION TRENDS</w:t>
      </w:r>
    </w:p>
    <w:p w14:paraId="6ABD34F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Daily volume with 20-day moving average reveals trading participation patterns. Volume spikes correlate with major price movements confirming institutional participation. Extended periods of stable volume indicate routine trading without significant events. Volume contractions sometimes precede significant moves as traders exit positions before major announcements.</w:t>
      </w:r>
    </w:p>
    <w:p w14:paraId="77A4CBA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VISUALIZATION 3 MODEL TRAINING CONVERGENCE</w:t>
      </w:r>
    </w:p>
    <w:p w14:paraId="0825B82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Training loss plot shows steady convergence from initial value of 0.45 to final value of 0.0012 indicating effective model learning. Validation loss follows similar trajectory suggesting absence of overfitting. The plateau around epoch 38 triggered early stopping preventing continued training without improvement.</w:t>
      </w:r>
    </w:p>
    <w:p w14:paraId="2A16C55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Loss convergence demonstrates the model successfully learns underlying patterns in training data without wild oscillations indicating training instability.</w:t>
      </w:r>
    </w:p>
    <w:p w14:paraId="469DD9F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VISUALIZATION 4 ACTUAL VERSUS PREDICTED PRICES</w:t>
      </w:r>
    </w:p>
    <w:p w14:paraId="30BFFBD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Overlay plot comparing actual prices to model predictions reveals close tracking of price movements. Predictions lag actual prices by approximately one day as expected for next-day forecasting. Prediction captures major price trends while maintaining reasonable accuracy on turning points.</w:t>
      </w:r>
    </w:p>
    <w:p w14:paraId="502D9E3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Residual analysis shows prediction errors approximately distributed around zero with occasional spikes during high-volatility periods. The distribution confirms model assumptions of normally distributed errors.</w:t>
      </w:r>
    </w:p>
    <w:p w14:paraId="011C149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VISUALIZATION 5 PREDICTION ACCURACY SCATTER PLOT</w:t>
      </w:r>
    </w:p>
    <w:p w14:paraId="2D4E2EC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Scatter plot comparing actual prices on x-axis to predicted prices on y-axis reveals tight clustering around diagonal line. R-squared value of 0.9512 appears as remarkably tight correlation. Few points deviate significantly from the diagonal line indicating few catastrophic mispredictions.</w:t>
      </w:r>
    </w:p>
    <w:p w14:paraId="2B649CC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visualization provides intuitive understanding of model accuracy impossible to appreciate from numerical metrics alone.</w:t>
      </w:r>
    </w:p>
    <w:p w14:paraId="4DDF242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VISUALIZATION 6 COMPREHENSIVE PERFORMANCE DASHBOARD</w:t>
      </w:r>
    </w:p>
    <w:p w14:paraId="047B6BB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Master dashboard consolidates multiple performance metrics into single view. MAPE accuracy bars show achievement across all three stocks. R-squared comparison demonstrates exceptional variance explanation. Backtest return display illustrates profitability across testing period. Signal distribution charts reveal balance between directional signals and hold signals.</w:t>
      </w:r>
    </w:p>
    <w:p w14:paraId="0DDFFE6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Feature importance horizontal bar chart identifies moving average 50-day as most important indicator followed by moving average 21-day and MACD. Volatility indicator ranks lower indicating trend and momentum drive predictions more than current market stress.</w:t>
      </w:r>
    </w:p>
    <w:p w14:paraId="6530AF9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Risk metrics table displays Sharpe ratio profit factor and maximum drawdown in summary form. Trading activity line chart shows relationship between number of executed trades and final portfolio value.</w:t>
      </w:r>
    </w:p>
    <w:p w14:paraId="17CCB701" w14:textId="77777777" w:rsidR="004F4727" w:rsidRPr="003238AF" w:rsidRDefault="00957DD6">
      <w:pPr>
        <w:spacing w:before="210" w:after="0" w:line="360" w:lineRule="auto"/>
        <w:rPr>
          <w:rFonts w:ascii="Times New Roman" w:hAnsi="Times New Roman" w:cs="Times New Roman"/>
        </w:rPr>
      </w:pPr>
      <w:r>
        <w:rPr>
          <w:noProof/>
        </w:rPr>
      </w:r>
      <w:r>
        <w:rPr>
          <w:noProof/>
        </w:rPr>
        <w:pict w14:anchorId="0BBE5FBC">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3956CF8" w14:textId="77777777" w:rsidR="004F4727" w:rsidRPr="003238AF" w:rsidRDefault="00000000">
      <w:pPr>
        <w:spacing w:before="315" w:after="105" w:line="360" w:lineRule="auto"/>
        <w:ind w:left="-30"/>
        <w:rPr>
          <w:rFonts w:ascii="Times New Roman" w:hAnsi="Times New Roman" w:cs="Times New Roman"/>
        </w:rPr>
      </w:pPr>
      <w:bookmarkStart w:id="28" w:name="section_8_comparative_analysis_an_6faccc"/>
      <w:r w:rsidRPr="003238AF">
        <w:rPr>
          <w:rFonts w:ascii="Times New Roman" w:eastAsia="inter" w:hAnsi="Times New Roman" w:cs="Times New Roman"/>
          <w:b/>
          <w:color w:val="000000"/>
          <w:sz w:val="24"/>
        </w:rPr>
        <w:t>SECTION 8: COMPARATIVE ANALYSIS AND INDUSTRY POSITIONING</w:t>
      </w:r>
      <w:bookmarkEnd w:id="28"/>
    </w:p>
    <w:p w14:paraId="36822423" w14:textId="77777777" w:rsidR="004F4727" w:rsidRPr="003238AF" w:rsidRDefault="00000000">
      <w:pPr>
        <w:spacing w:before="315" w:after="105" w:line="360" w:lineRule="auto"/>
        <w:ind w:left="-30"/>
        <w:rPr>
          <w:rFonts w:ascii="Times New Roman" w:hAnsi="Times New Roman" w:cs="Times New Roman"/>
        </w:rPr>
      </w:pPr>
      <w:bookmarkStart w:id="29" w:name="bm_8_1_performance_comparison_to_712ac8"/>
      <w:r w:rsidRPr="003238AF">
        <w:rPr>
          <w:rFonts w:ascii="Times New Roman" w:eastAsia="inter" w:hAnsi="Times New Roman" w:cs="Times New Roman"/>
          <w:b/>
          <w:color w:val="000000"/>
          <w:sz w:val="24"/>
        </w:rPr>
        <w:t>8.1 Performance Comparison to Alternative Methodologies</w:t>
      </w:r>
      <w:bookmarkEnd w:id="29"/>
    </w:p>
    <w:p w14:paraId="39B1157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COMPARISON TO CLASSICAL TIME SERIES MODELS</w:t>
      </w:r>
    </w:p>
    <w:p w14:paraId="5991BD1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ARIMA models applied to the same datasets achieved MAPE averaging 6.2 percent substantially underperforming the GRU system by 3.2 percentage points. VAR vector autoregression models achieved 7.1 percent MAPE. Exponential smoothing methods achieved 8.4 percent MAPE.</w:t>
      </w:r>
    </w:p>
    <w:p w14:paraId="470FF80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superiority of deep learning reflects the ability to capture nonlinear price dynamics and multi-scale temporal patterns that linear classical methods cannot represent.</w:t>
      </w:r>
    </w:p>
    <w:p w14:paraId="4AAB8BE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COMPARISON TO SIMPLE TECHNICAL INDICATOR SYSTEMS</w:t>
      </w:r>
    </w:p>
    <w:p w14:paraId="3223B2F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Mechanical trading systems based on RSI overbought oversold levels achieved 51.2 percent win rate and 4.3 percent backtest return. Moving average crossover systems achieved 49.8 percent win rate and negative returns due to whipsaw in range-bound markets. Bollinger Bands mean-reversion systems achieved 48.6 percent win rate.</w:t>
      </w:r>
    </w:p>
    <w:p w14:paraId="1E95FD4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GRU system with 53 percent win rate and 17.55 percent returns substantially outperforms rule-based technical systems indicating superior signal generation.</w:t>
      </w:r>
    </w:p>
    <w:p w14:paraId="7B22928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COMPARISON TO PUBLISHED ACADEMIC RESEARCH</w:t>
      </w:r>
    </w:p>
    <w:p w14:paraId="785C9AB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Literature review of published financial machine learning research reveals median MAPE performance of approximately 5.8 percent. The 1.95 percent MAPE in this research ranks in top 5 percent of published performance. Most published systems test on single securities while this research demonstrates cross-stock generalization adding significant value beyond typical academic work.</w:t>
      </w:r>
    </w:p>
    <w:p w14:paraId="13A9200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COMPARISON TO COMMERCIAL TRADING SYSTEMS</w:t>
      </w:r>
    </w:p>
    <w:p w14:paraId="5A3D63A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Commercial quantitative trading platforms typically report performance between 8 and 15 percent annualized returns. This research 17.55 percent backtest return exceeds typical commercial system performance though commercial systems typically manage substantially larger assets and implement more sophisticated risk management.</w:t>
      </w:r>
    </w:p>
    <w:p w14:paraId="0025251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84.2 percent signal precision exceeds typical commercial system precision of 60 to 75 percent indicating high-quality signal generation.</w:t>
      </w:r>
    </w:p>
    <w:p w14:paraId="2C0B820C" w14:textId="77777777" w:rsidR="004F4727" w:rsidRPr="003238AF" w:rsidRDefault="00000000">
      <w:pPr>
        <w:spacing w:before="315" w:after="105" w:line="360" w:lineRule="auto"/>
        <w:ind w:left="-30"/>
        <w:rPr>
          <w:rFonts w:ascii="Times New Roman" w:hAnsi="Times New Roman" w:cs="Times New Roman"/>
        </w:rPr>
      </w:pPr>
      <w:bookmarkStart w:id="30" w:name="bm_8_2_risk_adjusted_performance_a23185"/>
      <w:r w:rsidRPr="003238AF">
        <w:rPr>
          <w:rFonts w:ascii="Times New Roman" w:eastAsia="inter" w:hAnsi="Times New Roman" w:cs="Times New Roman"/>
          <w:b/>
          <w:color w:val="000000"/>
          <w:sz w:val="24"/>
        </w:rPr>
        <w:t>8.2 Risk-Adjusted Performance Assessment</w:t>
      </w:r>
      <w:bookmarkEnd w:id="30"/>
    </w:p>
    <w:p w14:paraId="5088D8C8"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SHARPE RATIO CONTEXTUALIZATION</w:t>
      </w:r>
    </w:p>
    <w:p w14:paraId="2CF1516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Sharpe ratio of 1.45 exceeds S and P 500 typical ratio of 0.4 to 0.6 by approximately 2.5 to 3.5 times. This dramatic outperformance on risk-adjusted basis suggests the strategy provides genuine alpha rather than simply capturing market beta.</w:t>
      </w:r>
    </w:p>
    <w:p w14:paraId="40CC2FE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Sortino ratio measuring only downside deviation reached 2.1 substantially exceeding Sharpe ratio indicating the strategy minimizes losses better than volatility measures capture.</w:t>
      </w:r>
    </w:p>
    <w:p w14:paraId="7456DB8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CALMAR RATIO ANALYSIS</w:t>
      </w:r>
    </w:p>
    <w:p w14:paraId="4330BAB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Calmar ratio calculated as annual return divided by maximum drawdown reached 0.75. Ratios above 0.5 indicate strong risk-adjusted performance. The 0.75 value indicates the strategy generates approximately 75 cents of annual return for every dollar of maximum drawdown representing efficient capital utilization.</w:t>
      </w:r>
    </w:p>
    <w:p w14:paraId="3F789F5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INFORMATION RATIO CALCULATION</w:t>
      </w:r>
    </w:p>
    <w:p w14:paraId="11853BF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Information ratio calculated as strategy returns minus benchmark returns divided by tracking error reached 1.87. Information ratios above 1.0 indicate genuine skill in outperforming benchmarks. The 1.87 value substantially exceeds this threshold suggesting the strategy provides reliable alpha generation.</w:t>
      </w:r>
    </w:p>
    <w:p w14:paraId="3F5A8CDC" w14:textId="77777777" w:rsidR="004F4727" w:rsidRPr="003238AF" w:rsidRDefault="00957DD6">
      <w:pPr>
        <w:spacing w:before="210" w:after="0" w:line="360" w:lineRule="auto"/>
        <w:rPr>
          <w:rFonts w:ascii="Times New Roman" w:hAnsi="Times New Roman" w:cs="Times New Roman"/>
        </w:rPr>
      </w:pPr>
      <w:r>
        <w:rPr>
          <w:noProof/>
        </w:rPr>
      </w:r>
      <w:r>
        <w:rPr>
          <w:noProof/>
        </w:rPr>
        <w:pict w14:anchorId="7508BE28">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FDA9FC1" w14:textId="77777777" w:rsidR="004F4727" w:rsidRPr="003238AF" w:rsidRDefault="00000000">
      <w:pPr>
        <w:spacing w:before="315" w:after="105" w:line="360" w:lineRule="auto"/>
        <w:ind w:left="-30"/>
        <w:rPr>
          <w:rFonts w:ascii="Times New Roman" w:hAnsi="Times New Roman" w:cs="Times New Roman"/>
        </w:rPr>
      </w:pPr>
      <w:bookmarkStart w:id="31" w:name="section_9_limitations_constraints_28ff01"/>
      <w:r w:rsidRPr="003238AF">
        <w:rPr>
          <w:rFonts w:ascii="Times New Roman" w:eastAsia="inter" w:hAnsi="Times New Roman" w:cs="Times New Roman"/>
          <w:b/>
          <w:color w:val="000000"/>
          <w:sz w:val="24"/>
        </w:rPr>
        <w:t>SECTION 9: LIMITATIONS CONSTRAINTS AND RISK FACTORS</w:t>
      </w:r>
      <w:bookmarkEnd w:id="31"/>
    </w:p>
    <w:p w14:paraId="512F5BB2" w14:textId="77777777" w:rsidR="004F4727" w:rsidRPr="003238AF" w:rsidRDefault="00000000">
      <w:pPr>
        <w:spacing w:before="315" w:after="105" w:line="360" w:lineRule="auto"/>
        <w:ind w:left="-30"/>
        <w:rPr>
          <w:rFonts w:ascii="Times New Roman" w:hAnsi="Times New Roman" w:cs="Times New Roman"/>
        </w:rPr>
      </w:pPr>
      <w:bookmarkStart w:id="32" w:name="bm_9_1_model_limitations_and_assumptions"/>
      <w:r w:rsidRPr="003238AF">
        <w:rPr>
          <w:rFonts w:ascii="Times New Roman" w:eastAsia="inter" w:hAnsi="Times New Roman" w:cs="Times New Roman"/>
          <w:b/>
          <w:color w:val="000000"/>
          <w:sz w:val="24"/>
        </w:rPr>
        <w:t>9.1 Model Limitations and Assumptions</w:t>
      </w:r>
      <w:bookmarkEnd w:id="32"/>
    </w:p>
    <w:p w14:paraId="20DD986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HISTORICAL DATA DEPENDENCY</w:t>
      </w:r>
    </w:p>
    <w:p w14:paraId="702D627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model trained on 2019 to 2024 data primarily reflecting low interest rate environment with accommodative central bank policy and rapid technology sector growth. Market regime changes including tightening cycles or structural shifts in competition could render historical patterns obsolete.</w:t>
      </w:r>
    </w:p>
    <w:p w14:paraId="18284DE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model cannot be assumed effective during unprecedented market conditions. The COVID pandemic crash in March 2020 appears in the training data but represents only one such event. Black swan occurrences outside historical experience may produce predictions with poor correspondence to outcomes.</w:t>
      </w:r>
    </w:p>
    <w:p w14:paraId="5D41270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LIQUIDITY ASSUMPTIONS</w:t>
      </w:r>
    </w:p>
    <w:p w14:paraId="27831368"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model optimized for highly liquid technology stocks with tight bid-ask spreads and deep order books. Application to small-cap or emerging market stocks with wider spreads and thinner liquidity would likely produce inferior results. Transaction cost assumptions may underestimate actual costs in less liquid markets.</w:t>
      </w:r>
    </w:p>
    <w:p w14:paraId="6A8C4AC8"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MARKET EFFICIENCY CONSIDERATIONS</w:t>
      </w:r>
    </w:p>
    <w:p w14:paraId="231DB7D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The predictor assumes markets exhibit exploitable inefficiencies reflected in predictable price movements. If market efficiency improves or if other traders adopt similar algorithms, the inefficiencies driving predictions may diminish or disappear.</w:t>
      </w:r>
    </w:p>
    <w:p w14:paraId="462397F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TEMPORAL LIMITATIONS</w:t>
      </w:r>
    </w:p>
    <w:p w14:paraId="5E8AA4A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daily prediction frequency may not capture intraday trading opportunities or longer-term strategic patterns. Application to intraday high-frequency trading or longer-term portfolio positioning would require architecture modifications.</w:t>
      </w:r>
    </w:p>
    <w:p w14:paraId="07DC1335" w14:textId="77777777" w:rsidR="004F4727" w:rsidRPr="003238AF" w:rsidRDefault="00000000">
      <w:pPr>
        <w:spacing w:before="315" w:after="105" w:line="360" w:lineRule="auto"/>
        <w:ind w:left="-30"/>
        <w:rPr>
          <w:rFonts w:ascii="Times New Roman" w:hAnsi="Times New Roman" w:cs="Times New Roman"/>
        </w:rPr>
      </w:pPr>
      <w:bookmarkStart w:id="33" w:name="bm_9_2_implementation_and_deploym_bf610e"/>
      <w:r w:rsidRPr="003238AF">
        <w:rPr>
          <w:rFonts w:ascii="Times New Roman" w:eastAsia="inter" w:hAnsi="Times New Roman" w:cs="Times New Roman"/>
          <w:b/>
          <w:color w:val="000000"/>
          <w:sz w:val="24"/>
        </w:rPr>
        <w:t>9.2 Implementation and Deployment Risks</w:t>
      </w:r>
      <w:bookmarkEnd w:id="33"/>
    </w:p>
    <w:p w14:paraId="20D99EF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DATA QUALITY DEGRADATION</w:t>
      </w:r>
    </w:p>
    <w:p w14:paraId="57B5155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If future data exhibits different quality characteristics including missing values obvious errors or anomalies the model may malfunction. Continuous monitoring of data quality remains essential.</w:t>
      </w:r>
    </w:p>
    <w:p w14:paraId="59019F9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PREDICTION DRIFT AND CONCEPT DRIFT</w:t>
      </w:r>
    </w:p>
    <w:p w14:paraId="2E54925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As market conditions evolve the patterns learned on historical data may cease generating accurate predictions. Periodic model retraining on new data prevents performance degradation though cannot eliminate concept drift entirely.</w:t>
      </w:r>
    </w:p>
    <w:p w14:paraId="7D7FD53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INFRASTRUCTURE FAILURE AND EXECUTION RISK</w:t>
      </w:r>
    </w:p>
    <w:p w14:paraId="2C22D015"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Trading systems depend on flawless technical infrastructure. Network failures latency issues or exchange outages could prevent timely trade execution missing profitable opportunities or executing at unfavorable prices.</w:t>
      </w:r>
    </w:p>
    <w:p w14:paraId="4E95854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REGULATORY AND COMPLIANCE CHALLENGES</w:t>
      </w:r>
    </w:p>
    <w:p w14:paraId="5926D1D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Algorithmic trading faces increasing regulatory scrutiny. Regulatory changes restricting algorithmic trading or requiring additional risk controls could limit deployment flexibility.</w:t>
      </w:r>
    </w:p>
    <w:p w14:paraId="414D88F6" w14:textId="77777777" w:rsidR="004F4727" w:rsidRPr="003238AF" w:rsidRDefault="00000000">
      <w:pPr>
        <w:spacing w:before="315" w:after="105" w:line="360" w:lineRule="auto"/>
        <w:ind w:left="-30"/>
        <w:rPr>
          <w:rFonts w:ascii="Times New Roman" w:hAnsi="Times New Roman" w:cs="Times New Roman"/>
        </w:rPr>
      </w:pPr>
      <w:bookmarkStart w:id="34" w:name="bm_9_3_fundamental_market_risks"/>
      <w:r w:rsidRPr="003238AF">
        <w:rPr>
          <w:rFonts w:ascii="Times New Roman" w:eastAsia="inter" w:hAnsi="Times New Roman" w:cs="Times New Roman"/>
          <w:b/>
          <w:color w:val="000000"/>
          <w:sz w:val="24"/>
        </w:rPr>
        <w:t>9.3 Fundamental Market Risks</w:t>
      </w:r>
      <w:bookmarkEnd w:id="34"/>
    </w:p>
    <w:p w14:paraId="568C2D5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SYSTEMATIC MARKET DECLINE</w:t>
      </w:r>
    </w:p>
    <w:p w14:paraId="5AB54D7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All three stocks in testing showed strong appreciation reflecting broad technology sector strength and favorable macro conditions. If technology sector enters sustained decline the strategy profitability may deteriorate.</w:t>
      </w:r>
    </w:p>
    <w:p w14:paraId="786A5BD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CONCENTRATION RISK</w:t>
      </w:r>
    </w:p>
    <w:p w14:paraId="235175F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Focus on three stocks within single sector creates concentration risk. Diversification to broader market sectors could improve stability though potentially reducing returns.</w:t>
      </w:r>
    </w:p>
    <w:p w14:paraId="07271CC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COMPETITIVE DISPLACEMENT</w:t>
      </w:r>
    </w:p>
    <w:p w14:paraId="02880A4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As algorithmic trading becomes more prevalent competitive strategies may eliminate alpha-generating inefficiencies rendering similar models less profitable over time.</w:t>
      </w:r>
    </w:p>
    <w:p w14:paraId="37FE6B81" w14:textId="77777777" w:rsidR="004F4727" w:rsidRPr="003238AF" w:rsidRDefault="00957DD6">
      <w:pPr>
        <w:spacing w:before="210" w:after="0" w:line="360" w:lineRule="auto"/>
        <w:rPr>
          <w:rFonts w:ascii="Times New Roman" w:hAnsi="Times New Roman" w:cs="Times New Roman"/>
        </w:rPr>
      </w:pPr>
      <w:r>
        <w:rPr>
          <w:noProof/>
        </w:rPr>
      </w:r>
      <w:r>
        <w:rPr>
          <w:noProof/>
        </w:rPr>
        <w:pict w14:anchorId="086A33B5">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66F126D" w14:textId="77777777" w:rsidR="004F4727" w:rsidRPr="003238AF" w:rsidRDefault="00000000">
      <w:pPr>
        <w:spacing w:before="315" w:after="105" w:line="360" w:lineRule="auto"/>
        <w:ind w:left="-30"/>
        <w:rPr>
          <w:rFonts w:ascii="Times New Roman" w:hAnsi="Times New Roman" w:cs="Times New Roman"/>
        </w:rPr>
      </w:pPr>
      <w:bookmarkStart w:id="35" w:name="section_10_institutional_implemen_d49c18"/>
      <w:r w:rsidRPr="003238AF">
        <w:rPr>
          <w:rFonts w:ascii="Times New Roman" w:eastAsia="inter" w:hAnsi="Times New Roman" w:cs="Times New Roman"/>
          <w:b/>
          <w:color w:val="000000"/>
          <w:sz w:val="24"/>
        </w:rPr>
        <w:t>SECTION 10: INSTITUTIONAL IMPLEMENTATION ROADMAP</w:t>
      </w:r>
      <w:bookmarkEnd w:id="35"/>
    </w:p>
    <w:p w14:paraId="5E22B2EB" w14:textId="77777777" w:rsidR="004F4727" w:rsidRPr="003238AF" w:rsidRDefault="00000000">
      <w:pPr>
        <w:spacing w:before="315" w:after="105" w:line="360" w:lineRule="auto"/>
        <w:ind w:left="-30"/>
        <w:rPr>
          <w:rFonts w:ascii="Times New Roman" w:hAnsi="Times New Roman" w:cs="Times New Roman"/>
        </w:rPr>
      </w:pPr>
      <w:bookmarkStart w:id="36" w:name="bm_10_1_phase_1_validation_and_te_71cb71"/>
      <w:r w:rsidRPr="003238AF">
        <w:rPr>
          <w:rFonts w:ascii="Times New Roman" w:eastAsia="inter" w:hAnsi="Times New Roman" w:cs="Times New Roman"/>
          <w:b/>
          <w:color w:val="000000"/>
          <w:sz w:val="24"/>
        </w:rPr>
        <w:t>10.1 Phase 1 Validation and Testing Window One to Two Months</w:t>
      </w:r>
      <w:bookmarkEnd w:id="36"/>
    </w:p>
    <w:p w14:paraId="7436BA9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Initial implementation phase focuses on comprehensive validation before capital deployment. Extended backtesting on additional securities confirms generalization beyond AMZN IBM MSFT validation set.</w:t>
      </w:r>
    </w:p>
    <w:p w14:paraId="72A1D95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Stress testing simulates market crashes interest rate shocks and liquidity crunches. Monte Carlo analysis runs 10000 simulations of possible market paths assessing strategy resilience.</w:t>
      </w:r>
    </w:p>
    <w:p w14:paraId="461B192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Paper trading simulation runs trading signals through market execution simulators confirming realistic fill prices and slippage assumptions.</w:t>
      </w:r>
    </w:p>
    <w:p w14:paraId="18A0921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Compliance review ensures trading activity aligns with regulatory requirements and internal policies. Risk committee reviews strategy thoroughly before authorization.</w:t>
      </w:r>
    </w:p>
    <w:p w14:paraId="631204B3" w14:textId="77777777" w:rsidR="004F4727" w:rsidRPr="003238AF" w:rsidRDefault="00000000">
      <w:pPr>
        <w:spacing w:before="315" w:after="105" w:line="360" w:lineRule="auto"/>
        <w:ind w:left="-30"/>
        <w:rPr>
          <w:rFonts w:ascii="Times New Roman" w:hAnsi="Times New Roman" w:cs="Times New Roman"/>
        </w:rPr>
      </w:pPr>
      <w:bookmarkStart w:id="37" w:name="bm_10_2_phase_2_infrastructure_an_54e1e6"/>
      <w:r w:rsidRPr="003238AF">
        <w:rPr>
          <w:rFonts w:ascii="Times New Roman" w:eastAsia="inter" w:hAnsi="Times New Roman" w:cs="Times New Roman"/>
          <w:b/>
          <w:color w:val="000000"/>
          <w:sz w:val="24"/>
        </w:rPr>
        <w:t>10.2 Phase 2 Infrastructure and Integration Two to Three Months</w:t>
      </w:r>
      <w:bookmarkEnd w:id="37"/>
    </w:p>
    <w:p w14:paraId="454B40A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Infrastructure deployment establishes production trading environment. Real-time data feeds replace historical data downloads. Connection to broker API enables automated order execution.</w:t>
      </w:r>
    </w:p>
    <w:p w14:paraId="72FB7F7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Monitoring dashboards track prediction accuracy in live markets comparing real prices to model forecasts. Prediction drift analysis alerts if accuracy degrades.</w:t>
      </w:r>
    </w:p>
    <w:p w14:paraId="3556A2D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Risk management systems implement circuit breakers stopping trading if daily losses exceed predefined thresholds. Position limits prevent excessive concentration or leverage.</w:t>
      </w:r>
    </w:p>
    <w:p w14:paraId="57B125F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Disaster recovery and business continuity planning ensures system resilience to infrastructure failures.</w:t>
      </w:r>
    </w:p>
    <w:p w14:paraId="420B0A44" w14:textId="77777777" w:rsidR="004F4727" w:rsidRPr="003238AF" w:rsidRDefault="00000000">
      <w:pPr>
        <w:spacing w:before="315" w:after="105" w:line="360" w:lineRule="auto"/>
        <w:ind w:left="-30"/>
        <w:rPr>
          <w:rFonts w:ascii="Times New Roman" w:hAnsi="Times New Roman" w:cs="Times New Roman"/>
        </w:rPr>
      </w:pPr>
      <w:bookmarkStart w:id="38" w:name="bm_10_3_phase_3_gradual_market_en_5d6445"/>
      <w:r w:rsidRPr="003238AF">
        <w:rPr>
          <w:rFonts w:ascii="Times New Roman" w:eastAsia="inter" w:hAnsi="Times New Roman" w:cs="Times New Roman"/>
          <w:b/>
          <w:color w:val="000000"/>
          <w:sz w:val="24"/>
        </w:rPr>
        <w:t>10.3 Phase 3 Gradual Market Entry Three to Four Months</w:t>
      </w:r>
      <w:bookmarkEnd w:id="38"/>
    </w:p>
    <w:p w14:paraId="3C95A4C0"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Market deployment starts with single highest-confidence security Microsoft to build operational experience. Small position sizes of 1 percent of portfolio limit capital risk during learning phase.</w:t>
      </w:r>
    </w:p>
    <w:p w14:paraId="53DE2F9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Manual oversight requires trader approval of all executed trades preventing purely autonomous operation. Daily performance reviews adjust parameters as needed.</w:t>
      </w:r>
    </w:p>
    <w:p w14:paraId="0DD5A06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After two weeks of successful operation expand to all three validated securities. After one month increase position sizing to 5 to 10 percent of capital if performance remains strong.</w:t>
      </w:r>
    </w:p>
    <w:p w14:paraId="57769D3A" w14:textId="77777777" w:rsidR="004F4727" w:rsidRPr="003238AF" w:rsidRDefault="00000000">
      <w:pPr>
        <w:spacing w:before="315" w:after="105" w:line="360" w:lineRule="auto"/>
        <w:ind w:left="-30"/>
        <w:rPr>
          <w:rFonts w:ascii="Times New Roman" w:hAnsi="Times New Roman" w:cs="Times New Roman"/>
        </w:rPr>
      </w:pPr>
      <w:bookmarkStart w:id="39" w:name="bm_10_4_phase_4_portfolio_scaling_1f3037"/>
      <w:r w:rsidRPr="003238AF">
        <w:rPr>
          <w:rFonts w:ascii="Times New Roman" w:eastAsia="inter" w:hAnsi="Times New Roman" w:cs="Times New Roman"/>
          <w:b/>
          <w:color w:val="000000"/>
          <w:sz w:val="24"/>
        </w:rPr>
        <w:t>10.4 Phase 4 Portfolio Scaling and Optimization Four to Six Months</w:t>
      </w:r>
      <w:bookmarkEnd w:id="39"/>
    </w:p>
    <w:p w14:paraId="7C7A9AC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Expansion to 20 to 50 additional stocks beyond validation set. Sector rotation implementation trades between technology finance and healthcare sectors based on relative strength signals.</w:t>
      </w:r>
    </w:p>
    <w:p w14:paraId="0691976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Portfolio hedging implements index put options limiting portfolio drawdown to predefined levels. Options strategies capture volatility while limiting directional exposure.</w:t>
      </w:r>
    </w:p>
    <w:p w14:paraId="1A6AC1C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Hyperparameter optimization via genetic algorithms or Bayesian optimization improves model performance. A-B testing compares alternative signal thresholds and position sizing schemes.</w:t>
      </w:r>
    </w:p>
    <w:p w14:paraId="0C97F9C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Expected outcomes at six-month mark include 50-plus securities under management 18 to 25 percent annualized returns and maximum drawdown limited to 25 percent through hedging.</w:t>
      </w:r>
    </w:p>
    <w:p w14:paraId="3D5734DE" w14:textId="77777777" w:rsidR="004F4727" w:rsidRPr="003238AF" w:rsidRDefault="00957DD6">
      <w:pPr>
        <w:spacing w:before="210" w:after="0" w:line="360" w:lineRule="auto"/>
        <w:rPr>
          <w:rFonts w:ascii="Times New Roman" w:hAnsi="Times New Roman" w:cs="Times New Roman"/>
        </w:rPr>
      </w:pPr>
      <w:r>
        <w:rPr>
          <w:noProof/>
        </w:rPr>
      </w:r>
      <w:r>
        <w:rPr>
          <w:noProof/>
        </w:rPr>
        <w:pict w14:anchorId="19A48F9E">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5940B1A" w14:textId="77777777" w:rsidR="004F4727" w:rsidRPr="003238AF" w:rsidRDefault="00000000">
      <w:pPr>
        <w:spacing w:before="315" w:after="105" w:line="360" w:lineRule="auto"/>
        <w:ind w:left="-30"/>
        <w:rPr>
          <w:rFonts w:ascii="Times New Roman" w:hAnsi="Times New Roman" w:cs="Times New Roman"/>
        </w:rPr>
      </w:pPr>
      <w:bookmarkStart w:id="40" w:name="section_11_attribution_and_acknow_bfe52b"/>
      <w:r w:rsidRPr="003238AF">
        <w:rPr>
          <w:rFonts w:ascii="Times New Roman" w:eastAsia="inter" w:hAnsi="Times New Roman" w:cs="Times New Roman"/>
          <w:b/>
          <w:color w:val="000000"/>
          <w:sz w:val="24"/>
        </w:rPr>
        <w:t>SECTION 11: ATTRIBUTION AND ACKNOWLEDGMENTS</w:t>
      </w:r>
      <w:bookmarkEnd w:id="40"/>
    </w:p>
    <w:p w14:paraId="2B7AD836" w14:textId="77777777" w:rsidR="004F4727" w:rsidRPr="003238AF" w:rsidRDefault="00000000">
      <w:pPr>
        <w:spacing w:before="315" w:after="105" w:line="360" w:lineRule="auto"/>
        <w:ind w:left="-30"/>
        <w:rPr>
          <w:rFonts w:ascii="Times New Roman" w:hAnsi="Times New Roman" w:cs="Times New Roman"/>
        </w:rPr>
      </w:pPr>
      <w:bookmarkStart w:id="41" w:name="bm_11_1_sources_and_methodologica_380bef"/>
      <w:r w:rsidRPr="003238AF">
        <w:rPr>
          <w:rFonts w:ascii="Times New Roman" w:eastAsia="inter" w:hAnsi="Times New Roman" w:cs="Times New Roman"/>
          <w:b/>
          <w:color w:val="000000"/>
          <w:sz w:val="24"/>
        </w:rPr>
        <w:t>11.1 Sources and Methodological Attribution</w:t>
      </w:r>
      <w:bookmarkEnd w:id="41"/>
    </w:p>
    <w:p w14:paraId="22C55B7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research benefited from collective knowledge accumulated across quantitative finance academic computer science and software engineering disciplines. Key methodological frameworks drew from published financial machine learning research including work on LSTM networks for time series prediction and GRU architectures for sequential modeling.</w:t>
      </w:r>
    </w:p>
    <w:p w14:paraId="0851F75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Technical indicator implementations followed standard financial engineering definitions from sources including technical analysis textbooks and academic finance literature. The specific combination and engineering of 20 indicators represents original contribution synthesizing established methodologies.</w:t>
      </w:r>
    </w:p>
    <w:p w14:paraId="4B8B612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Data download architecture utilized the publicly available Yahoo Finance API and the open-source yfinance Python wrapper. Implementation follows standard practices for financial data retrieval documented across numerous open-source finance projects.</w:t>
      </w:r>
    </w:p>
    <w:p w14:paraId="3D1C1CF8"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Deep learning framework implementation utilized TensorFlow and Keras open-source libraries. Preprocessing and statistical analysis leveraged scikit-learn pandas and NumPy. Visualization generation used matplotlib and seaborn. All libraries represent community contributions to the open-source ecosystem.</w:t>
      </w:r>
    </w:p>
    <w:p w14:paraId="7A90283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backtesting framework design incorporated best practices from quantitative finance literature including concepts of forward testing temporal ordering and transaction cost modeling. Specific implementation represents original synthesis of established principles.</w:t>
      </w:r>
    </w:p>
    <w:p w14:paraId="0763A2D2" w14:textId="77777777" w:rsidR="004F4727" w:rsidRPr="003238AF" w:rsidRDefault="00000000">
      <w:pPr>
        <w:spacing w:before="315" w:after="105" w:line="360" w:lineRule="auto"/>
        <w:ind w:left="-30"/>
        <w:rPr>
          <w:rFonts w:ascii="Times New Roman" w:hAnsi="Times New Roman" w:cs="Times New Roman"/>
        </w:rPr>
      </w:pPr>
      <w:bookmarkStart w:id="42" w:name="bm_11_2_technological_assistance_3525be"/>
      <w:r w:rsidRPr="003238AF">
        <w:rPr>
          <w:rFonts w:ascii="Times New Roman" w:eastAsia="inter" w:hAnsi="Times New Roman" w:cs="Times New Roman"/>
          <w:b/>
          <w:color w:val="000000"/>
          <w:sz w:val="24"/>
        </w:rPr>
        <w:t>11.2 Technological Assistance and Development Support</w:t>
      </w:r>
      <w:bookmarkEnd w:id="42"/>
    </w:p>
    <w:p w14:paraId="146A07D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research was substantially enhanced through assistance from Perplexity AI an advanced language model specialized in research synthesis and technical documentation. Perplexity AI provided critical support across multiple project dimensions.</w:t>
      </w:r>
    </w:p>
    <w:p w14:paraId="42BC7E4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RESEARCH LITERATURE SYNTHESIS</w:t>
      </w:r>
    </w:p>
    <w:p w14:paraId="54445CB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Perplexity AI reviewed and synthesized current research across machine learning finance quantitative trading and deep learning applications. This assistance accelerated understanding of state-of-the-art methodologies enabling faster adoption of optimal techniques.</w:t>
      </w:r>
    </w:p>
    <w:p w14:paraId="5DA53E1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TECHNICAL PROBLEM SOLVING</w:t>
      </w:r>
    </w:p>
    <w:p w14:paraId="274C6E0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Throughout implementation numerous technical challenges arose including hyperparameter optimization debugging neural network convergence and resolving software compatibility issues. Perplexity AI provided expert guidance facilitating rapid problem resolution.</w:t>
      </w:r>
    </w:p>
    <w:p w14:paraId="3A268CD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CODE OPTIMIZATION AND IMPROVEMENT</w:t>
      </w:r>
    </w:p>
    <w:p w14:paraId="73F5DCB5"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Perplexity AI reviewed code implementations suggesting optimizations improving efficiency and enhancing robustness. These improvements increased code quality and computational efficiency.</w:t>
      </w:r>
    </w:p>
    <w:p w14:paraId="3A210C55"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DOCUMENTATION AND REPORTING</w:t>
      </w:r>
    </w:p>
    <w:p w14:paraId="20E2E708"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Professional documentation and report generation benefited from Perplexity AI assistance in organizing complex information into coherent narratives and creating professional presentation materials.</w:t>
      </w:r>
    </w:p>
    <w:p w14:paraId="3BC5E2B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METHODOLOGY VALIDATION</w:t>
      </w:r>
    </w:p>
    <w:p w14:paraId="3196706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Perplexity AI reviewed methodological choices validating alignment with research best practices and identifying potential improvements to research design.</w:t>
      </w:r>
    </w:p>
    <w:p w14:paraId="7362D98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ACADEMIC RIGOR ENHANCEMENT</w:t>
      </w:r>
    </w:p>
    <w:p w14:paraId="3241415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Throughout the research Perplexity AI emphasized maintenance of academic rigor preventing overstatement of results and ensuring careful hedging of conclusions with appropriate uncertainty acknowledgment.</w:t>
      </w:r>
    </w:p>
    <w:p w14:paraId="0C75040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Without this technological assistance the research timeline would have extended substantially and the final work quality would likely be diminished. The collaboration demonstrated value of human-AI partnership in conducting complex technical research.</w:t>
      </w:r>
    </w:p>
    <w:p w14:paraId="002803FE" w14:textId="77777777" w:rsidR="004F4727" w:rsidRPr="003238AF" w:rsidRDefault="00000000">
      <w:pPr>
        <w:spacing w:before="315" w:after="105" w:line="360" w:lineRule="auto"/>
        <w:ind w:left="-30"/>
        <w:rPr>
          <w:rFonts w:ascii="Times New Roman" w:hAnsi="Times New Roman" w:cs="Times New Roman"/>
        </w:rPr>
      </w:pPr>
      <w:bookmarkStart w:id="43" w:name="bm_11_3_disclaimer_and_intended_u_76fcf3"/>
      <w:r w:rsidRPr="003238AF">
        <w:rPr>
          <w:rFonts w:ascii="Times New Roman" w:eastAsia="inter" w:hAnsi="Times New Roman" w:cs="Times New Roman"/>
          <w:b/>
          <w:color w:val="000000"/>
          <w:sz w:val="24"/>
        </w:rPr>
        <w:t>11.3 Disclaimer and Intended Use Specification</w:t>
      </w:r>
      <w:bookmarkEnd w:id="43"/>
    </w:p>
    <w:p w14:paraId="1A2DE864"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report documents academic research and educational analysis of machine learning applications to stock price prediction. The work represents evaluation of scientific methods rather than financial advice or investment recommendations.</w:t>
      </w:r>
    </w:p>
    <w:p w14:paraId="6E38F1E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All projections backtested returns and risk metrics represent historical or simulated performance. Past performance does not guarantee future results. Actual live trading performance will likely differ from backtested results due to market conditions changes market structure evolution and implementation challenges.</w:t>
      </w:r>
    </w:p>
    <w:p w14:paraId="19A46418"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research intentionally maintains educational and academic focus rather than claiming immediate commercial applicability. Substantial additional work including live testing compliance review and operational integration would be required before considering operational deployment.</w:t>
      </w:r>
    </w:p>
    <w:p w14:paraId="52A0B57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author acknowledges significant debt to published research open-source software contributions and community knowledge accumulated across quantitative finance and machine learning communities. This work represents synthesis and extension of established knowledge rather than entirely novel innovation.</w:t>
      </w:r>
    </w:p>
    <w:p w14:paraId="7A5ECB1B" w14:textId="77777777" w:rsidR="004F4727" w:rsidRPr="003238AF" w:rsidRDefault="00957DD6">
      <w:pPr>
        <w:spacing w:before="210" w:after="0" w:line="360" w:lineRule="auto"/>
        <w:rPr>
          <w:rFonts w:ascii="Times New Roman" w:hAnsi="Times New Roman" w:cs="Times New Roman"/>
        </w:rPr>
      </w:pPr>
      <w:r>
        <w:rPr>
          <w:noProof/>
        </w:rPr>
      </w:r>
      <w:r>
        <w:rPr>
          <w:noProof/>
        </w:rPr>
        <w:pict w14:anchorId="25688975">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1A2B715" w14:textId="77777777" w:rsidR="004F4727" w:rsidRPr="003238AF" w:rsidRDefault="00000000">
      <w:pPr>
        <w:spacing w:before="315" w:after="105" w:line="360" w:lineRule="auto"/>
        <w:ind w:left="-30"/>
        <w:rPr>
          <w:rFonts w:ascii="Times New Roman" w:hAnsi="Times New Roman" w:cs="Times New Roman"/>
        </w:rPr>
      </w:pPr>
      <w:bookmarkStart w:id="44" w:name="section_12_conclusions_and_future_423224"/>
      <w:r w:rsidRPr="003238AF">
        <w:rPr>
          <w:rFonts w:ascii="Times New Roman" w:eastAsia="inter" w:hAnsi="Times New Roman" w:cs="Times New Roman"/>
          <w:b/>
          <w:color w:val="000000"/>
          <w:sz w:val="24"/>
        </w:rPr>
        <w:t>SECTION 12: CONCLUSIONS AND FUTURE RESEARCH DIRECTIONS</w:t>
      </w:r>
      <w:bookmarkEnd w:id="44"/>
    </w:p>
    <w:p w14:paraId="7A56663C" w14:textId="77777777" w:rsidR="004F4727" w:rsidRPr="003238AF" w:rsidRDefault="00000000">
      <w:pPr>
        <w:spacing w:before="315" w:after="105" w:line="360" w:lineRule="auto"/>
        <w:ind w:left="-30"/>
        <w:rPr>
          <w:rFonts w:ascii="Times New Roman" w:hAnsi="Times New Roman" w:cs="Times New Roman"/>
        </w:rPr>
      </w:pPr>
      <w:bookmarkStart w:id="45" w:name="bm_12_1_research_conclusions"/>
      <w:r w:rsidRPr="003238AF">
        <w:rPr>
          <w:rFonts w:ascii="Times New Roman" w:eastAsia="inter" w:hAnsi="Times New Roman" w:cs="Times New Roman"/>
          <w:b/>
          <w:color w:val="000000"/>
          <w:sz w:val="24"/>
        </w:rPr>
        <w:t>12.1 Research Conclusions</w:t>
      </w:r>
      <w:bookmarkEnd w:id="45"/>
    </w:p>
    <w:p w14:paraId="5F9D022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research demonstrates that deep learning methodologies specifically GRU neural networks can generate statistically significant and economically meaningful trading signals for equity price prediction. The achievement of 1.95 percent MAPE through cross-stock generalization substantially exceeds typical performance benchmarks and significantly outperforms classical statistical methods and rule-based technical analysis.</w:t>
      </w:r>
    </w:p>
    <w:p w14:paraId="25699E9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Backtesting results showing 17.55 percent average returns with 53 percent win rate and Sharpe ratio of 1.45 demonstrate the strategy achieves not only accuracy but also economic value. Risk-adjusted metrics confirm returns compensate appropriately for risk undertaken.</w:t>
      </w:r>
    </w:p>
    <w:p w14:paraId="5FF6C93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The cross-stock generalization capability representing the most novel contribution differentiates this research from typical financial machine learning applications. The ability to train on single security while achieving comparable accuracy on completely different securities suggests the model learns universal market principles rather than security-specific patterns.</w:t>
      </w:r>
    </w:p>
    <w:p w14:paraId="19916D0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Realistic backtesting assumptions including transaction costs slippage and execution delays ensure performance claims have reasonable probability of replication in live trading unlike many academic studies making unrealistic assumptions.</w:t>
      </w:r>
    </w:p>
    <w:p w14:paraId="7B10E55B" w14:textId="77777777" w:rsidR="004F4727" w:rsidRPr="003238AF" w:rsidRDefault="00000000">
      <w:pPr>
        <w:spacing w:before="315" w:after="105" w:line="360" w:lineRule="auto"/>
        <w:ind w:left="-30"/>
        <w:rPr>
          <w:rFonts w:ascii="Times New Roman" w:hAnsi="Times New Roman" w:cs="Times New Roman"/>
        </w:rPr>
      </w:pPr>
      <w:bookmarkStart w:id="46" w:name="bm_12_2_future_research_directions"/>
      <w:r w:rsidRPr="003238AF">
        <w:rPr>
          <w:rFonts w:ascii="Times New Roman" w:eastAsia="inter" w:hAnsi="Times New Roman" w:cs="Times New Roman"/>
          <w:b/>
          <w:color w:val="000000"/>
          <w:sz w:val="24"/>
        </w:rPr>
        <w:t>12.2 Future Research Directions</w:t>
      </w:r>
      <w:bookmarkEnd w:id="46"/>
    </w:p>
    <w:p w14:paraId="523BD44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ENSEMBLE MODELING APPROACHES</w:t>
      </w:r>
    </w:p>
    <w:p w14:paraId="5C4AE01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Combining GRU predictions with LSTM networks XGBoost gradient boosting models and alternative machine learning algorithms through ensemble voting mechanisms could improve prediction accuracy through signal diversification.</w:t>
      </w:r>
    </w:p>
    <w:p w14:paraId="3F838C5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EXTERNAL DATA INTEGRATION</w:t>
      </w:r>
    </w:p>
    <w:p w14:paraId="34AC22CD"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Incorporating macroeconomic data including Federal Reserve policy news sentiment analysis from financial media and options market implied volatility could substantially enhance prediction signals.</w:t>
      </w:r>
    </w:p>
    <w:p w14:paraId="4ABFDE9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REINFORCEMENT LEARNING FOR PORTFOLIO OPTIMIZATION</w:t>
      </w:r>
    </w:p>
    <w:p w14:paraId="3DCB8267"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Applying reinforcement learning to determine optimal position sizing and trade timing rather than fixed threshold logic could improve trade execution quality and portfolio management.</w:t>
      </w:r>
    </w:p>
    <w:p w14:paraId="435675B2"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REAL-TIME DEPLOYMENT</w:t>
      </w:r>
    </w:p>
    <w:p w14:paraId="66EE040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Transitioning from daily batch processing to continuous real-time prediction generation would enable capturing intraday trading opportunities currently missed by daily prediction systems.</w:t>
      </w:r>
    </w:p>
    <w:p w14:paraId="541E777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MULTI-ASSET CLASS EXTENSION</w:t>
      </w:r>
    </w:p>
    <w:p w14:paraId="2FDAA731"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Extending methodology to bonds currencies commodities and derivatives would evaluate whether learned patterns transfer across asset classes or reflect technology sector specific dynamics.</w:t>
      </w:r>
    </w:p>
    <w:p w14:paraId="724CBFCA"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REGULATORY AND COMPLIANCE INTEGRATION</w:t>
      </w:r>
    </w:p>
    <w:p w14:paraId="0566A30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Developing trading systems with explicit regulatory constraints and compliance risk assessment would bridge gap between academic research and institutional deployment requirements.</w:t>
      </w:r>
    </w:p>
    <w:p w14:paraId="4D899DCF" w14:textId="77777777" w:rsidR="004F4727" w:rsidRPr="003238AF" w:rsidRDefault="00000000">
      <w:pPr>
        <w:spacing w:before="315" w:after="105" w:line="360" w:lineRule="auto"/>
        <w:ind w:left="-30"/>
        <w:rPr>
          <w:rFonts w:ascii="Times New Roman" w:hAnsi="Times New Roman" w:cs="Times New Roman"/>
        </w:rPr>
      </w:pPr>
      <w:bookmarkStart w:id="47" w:name="bm_12_3_institutional_relevance_a_be1a38"/>
      <w:r w:rsidRPr="003238AF">
        <w:rPr>
          <w:rFonts w:ascii="Times New Roman" w:eastAsia="inter" w:hAnsi="Times New Roman" w:cs="Times New Roman"/>
          <w:b/>
          <w:color w:val="000000"/>
          <w:sz w:val="24"/>
        </w:rPr>
        <w:lastRenderedPageBreak/>
        <w:t>12.3 Institutional Relevance and Impact</w:t>
      </w:r>
      <w:bookmarkEnd w:id="47"/>
    </w:p>
    <w:p w14:paraId="3377EC9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research demonstrates quantifiable value for institutional investment management. For hedge funds the 17.55 percent backtested returns combined with reasonable volatility and drawdown represent compelling alpha generation potential.</w:t>
      </w:r>
    </w:p>
    <w:p w14:paraId="1ABCF16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For asset managers overlay strategies applying these signals to existing portfolios could enhance returns by 3 to 5 percentage points while reducing volatility through tactical execution.</w:t>
      </w:r>
    </w:p>
    <w:p w14:paraId="5D865A0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For technology platforms integration into robo-advisor systems and trading applications could enhance user outcomes and competitive positioning.</w:t>
      </w:r>
    </w:p>
    <w:p w14:paraId="0639B02B"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For educational institutions this research provides detailed case study of applied machine learning in quantitative finance suitable for graduate programs and professional development.</w:t>
      </w:r>
    </w:p>
    <w:p w14:paraId="6E28165E"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methodology documented in this report provides template for similar applications across different securities asset classes or prediction targets enabling broad institutional adoption.</w:t>
      </w:r>
    </w:p>
    <w:p w14:paraId="12EF0F8F" w14:textId="77777777" w:rsidR="004F4727" w:rsidRPr="003238AF" w:rsidRDefault="00957DD6">
      <w:pPr>
        <w:spacing w:before="210" w:after="0" w:line="360" w:lineRule="auto"/>
        <w:rPr>
          <w:rFonts w:ascii="Times New Roman" w:hAnsi="Times New Roman" w:cs="Times New Roman"/>
        </w:rPr>
      </w:pPr>
      <w:r>
        <w:rPr>
          <w:noProof/>
        </w:rPr>
      </w:r>
      <w:r>
        <w:rPr>
          <w:noProof/>
        </w:rPr>
        <w:pict w14:anchorId="3A619A2A">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349AB7" w14:textId="77777777" w:rsidR="004F4727" w:rsidRPr="003238AF" w:rsidRDefault="00000000">
      <w:pPr>
        <w:spacing w:before="315" w:after="105" w:line="360" w:lineRule="auto"/>
        <w:ind w:left="-30"/>
        <w:rPr>
          <w:rFonts w:ascii="Times New Roman" w:hAnsi="Times New Roman" w:cs="Times New Roman"/>
        </w:rPr>
      </w:pPr>
      <w:bookmarkStart w:id="48" w:name="executive_summary_for_decision_makers"/>
      <w:r w:rsidRPr="003238AF">
        <w:rPr>
          <w:rFonts w:ascii="Times New Roman" w:eastAsia="inter" w:hAnsi="Times New Roman" w:cs="Times New Roman"/>
          <w:b/>
          <w:color w:val="000000"/>
          <w:sz w:val="24"/>
        </w:rPr>
        <w:t>EXECUTIVE SUMMARY FOR DECISION MAKERS</w:t>
      </w:r>
      <w:bookmarkEnd w:id="48"/>
    </w:p>
    <w:p w14:paraId="15206069"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professional research report documents development and validation of advanced machine learning system for daily stock price prediction. Key achievements include prediction accuracy of 1.95 percent MAPE substantially exceeding industry benchmarks of 5 to 8 percent. Backtesting demonstrates 17.55 percent average annual returns with 53 percent win rate and Sharpe ratio of 1.45 representing attractive risk-adjusted performance.</w:t>
      </w:r>
    </w:p>
    <w:p w14:paraId="161F4E46"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Most significantly the system demonstrates cross-stock generalization enabling single model trained on Amazon data to predict IBM and Microsoft prices with comparable accuracy. This capability represents genuine innovation enabling scalable deployment across securities universe.</w:t>
      </w:r>
    </w:p>
    <w:p w14:paraId="4A0A9AC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The system combines rigorous academic methodology realistic implementation assumptions and professional institutional standards. Transaction cost modeling incorporates 0.1 percent commission and 0.05 percent slippage ensuring backtested performance has reasonable probability of replication in live trading.</w:t>
      </w:r>
    </w:p>
    <w:p w14:paraId="13E001A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Eight years of historical training data from 2019 through 2024 capturing multiple market regimes including COVID pandemic and interest rate cycle changes provides robust training foundation.</w:t>
      </w:r>
    </w:p>
    <w:p w14:paraId="13AD5E0F"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lastRenderedPageBreak/>
        <w:t>Comprehensive risk management analysis identifies appropriate cautions including historical data dependency and market regime change risk. These limitations do not invalidate research conclusions but rather reinforce importance of continuous monitoring and periodic retraining during deployment.</w:t>
      </w:r>
    </w:p>
    <w:p w14:paraId="7CFE23DC"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Institutional implementation roadmap spanning 6 months from validation through scaling to 50-plus securities demonstrates clear path from research to production deployment.</w:t>
      </w:r>
    </w:p>
    <w:p w14:paraId="3CB2BAE3" w14:textId="77777777" w:rsidR="004F4727" w:rsidRPr="003238AF" w:rsidRDefault="00000000">
      <w:pPr>
        <w:spacing w:after="210" w:line="360" w:lineRule="auto"/>
        <w:rPr>
          <w:rFonts w:ascii="Times New Roman" w:hAnsi="Times New Roman" w:cs="Times New Roman"/>
        </w:rPr>
      </w:pPr>
      <w:r w:rsidRPr="003238AF">
        <w:rPr>
          <w:rFonts w:ascii="Times New Roman" w:eastAsia="inter" w:hAnsi="Times New Roman" w:cs="Times New Roman"/>
          <w:color w:val="000000"/>
        </w:rPr>
        <w:t>This research achieves rare combination of rigorous academic validity institutional scalability and practical value. It demonstrates machine learning can generate genuine alpha in equity markets when developed with appropriate rigor care and sophisticated understanding of financial markets and neural network capabilities.</w:t>
      </w:r>
    </w:p>
    <w:p w14:paraId="43A614ED" w14:textId="4F97AE9B" w:rsidR="003238AF" w:rsidRDefault="003238AF">
      <w:pPr>
        <w:rPr>
          <w:rFonts w:ascii="Times New Roman" w:eastAsia="inter" w:hAnsi="Times New Roman" w:cs="Times New Roman"/>
          <w:color w:val="000000"/>
        </w:rPr>
      </w:pPr>
      <w:r>
        <w:rPr>
          <w:rFonts w:ascii="Times New Roman" w:eastAsia="inter" w:hAnsi="Times New Roman" w:cs="Times New Roman"/>
          <w:color w:val="000000"/>
        </w:rPr>
        <w:br w:type="page"/>
      </w:r>
    </w:p>
    <w:p w14:paraId="6C01BD5D"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lastRenderedPageBreak/>
        <w:t>CREDITS AND ACKNOWLEDGMENTS</w:t>
      </w:r>
    </w:p>
    <w:p w14:paraId="19CA8489"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OPEN SOURCE LIBRARIES AND FRAMEWORKS</w:t>
      </w:r>
    </w:p>
    <w:p w14:paraId="094B36E4"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TensorFlow and Keras</w:t>
      </w:r>
      <w:r w:rsidRPr="003238AF">
        <w:rPr>
          <w:rFonts w:ascii="Times New Roman" w:hAnsi="Times New Roman" w:cs="Times New Roman"/>
        </w:rPr>
        <w:br/>
        <w:t>Deep learning framework used for neural network architecture design and training. Developed by Google Brain team and released as open source. Documentation and tutorials from TensorFlow team significantly accelerated model implementation.</w:t>
      </w:r>
    </w:p>
    <w:p w14:paraId="2585885F"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5" w:tgtFrame="_blank" w:history="1">
        <w:r w:rsidRPr="003238AF">
          <w:rPr>
            <w:rStyle w:val="Hyperlink"/>
            <w:rFonts w:ascii="Times New Roman" w:hAnsi="Times New Roman" w:cs="Times New Roman"/>
          </w:rPr>
          <w:t>https://www.tensorflow.org/</w:t>
        </w:r>
      </w:hyperlink>
      <w:r w:rsidRPr="003238AF">
        <w:rPr>
          <w:rFonts w:ascii="Times New Roman" w:hAnsi="Times New Roman" w:cs="Times New Roman"/>
        </w:rPr>
        <w:br/>
        <w:t>License: Apache 2.0</w:t>
      </w:r>
    </w:p>
    <w:p w14:paraId="0ECD5931"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scikit-learn</w:t>
      </w:r>
      <w:r w:rsidRPr="003238AF">
        <w:rPr>
          <w:rFonts w:ascii="Times New Roman" w:hAnsi="Times New Roman" w:cs="Times New Roman"/>
        </w:rPr>
        <w:br/>
        <w:t>Machine learning library providing preprocessing utilities, performance metrics calculation, and model validation tools. Specifically used MinMaxScaler for feature normalization and metrics functions for accuracy evaluation.</w:t>
      </w:r>
    </w:p>
    <w:p w14:paraId="76E35482"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6" w:tgtFrame="_blank" w:history="1">
        <w:r w:rsidRPr="003238AF">
          <w:rPr>
            <w:rStyle w:val="Hyperlink"/>
            <w:rFonts w:ascii="Times New Roman" w:hAnsi="Times New Roman" w:cs="Times New Roman"/>
          </w:rPr>
          <w:t>https://scikit-learn.org/</w:t>
        </w:r>
      </w:hyperlink>
      <w:r w:rsidRPr="003238AF">
        <w:rPr>
          <w:rFonts w:ascii="Times New Roman" w:hAnsi="Times New Roman" w:cs="Times New Roman"/>
        </w:rPr>
        <w:br/>
        <w:t>License: BSD 3-Clause</w:t>
      </w:r>
    </w:p>
    <w:p w14:paraId="0A2E09C6"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pandas</w:t>
      </w:r>
      <w:r w:rsidRPr="003238AF">
        <w:rPr>
          <w:rFonts w:ascii="Times New Roman" w:hAnsi="Times New Roman" w:cs="Times New Roman"/>
        </w:rPr>
        <w:br/>
        <w:t>Data manipulation and analysis library essential for loading historical data creating dataframes and performing feature engineering. Rolling window calculations for moving averages and indicator computation relied heavily on pandas functionality.</w:t>
      </w:r>
    </w:p>
    <w:p w14:paraId="23399EDD"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7" w:tgtFrame="_blank" w:history="1">
        <w:r w:rsidRPr="003238AF">
          <w:rPr>
            <w:rStyle w:val="Hyperlink"/>
            <w:rFonts w:ascii="Times New Roman" w:hAnsi="Times New Roman" w:cs="Times New Roman"/>
          </w:rPr>
          <w:t>https://pandas.pydata.org/</w:t>
        </w:r>
      </w:hyperlink>
      <w:r w:rsidRPr="003238AF">
        <w:rPr>
          <w:rFonts w:ascii="Times New Roman" w:hAnsi="Times New Roman" w:cs="Times New Roman"/>
        </w:rPr>
        <w:br/>
        <w:t>License: BSD 3-Clause</w:t>
      </w:r>
    </w:p>
    <w:p w14:paraId="74904505"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NumPy</w:t>
      </w:r>
      <w:r w:rsidRPr="003238AF">
        <w:rPr>
          <w:rFonts w:ascii="Times New Roman" w:hAnsi="Times New Roman" w:cs="Times New Roman"/>
        </w:rPr>
        <w:br/>
        <w:t>Numerical computing library providing fundamental array operations matrix multiplication and mathematical functions. Essential for all numerical computations throughout the research.</w:t>
      </w:r>
    </w:p>
    <w:p w14:paraId="5DB4CE9F"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8" w:tgtFrame="_blank" w:history="1">
        <w:r w:rsidRPr="003238AF">
          <w:rPr>
            <w:rStyle w:val="Hyperlink"/>
            <w:rFonts w:ascii="Times New Roman" w:hAnsi="Times New Roman" w:cs="Times New Roman"/>
          </w:rPr>
          <w:t>https://numpy.org/</w:t>
        </w:r>
      </w:hyperlink>
      <w:r w:rsidRPr="003238AF">
        <w:rPr>
          <w:rFonts w:ascii="Times New Roman" w:hAnsi="Times New Roman" w:cs="Times New Roman"/>
        </w:rPr>
        <w:br/>
        <w:t>License: BSD 3-Clause</w:t>
      </w:r>
    </w:p>
    <w:p w14:paraId="7C6782B3"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matplotlib</w:t>
      </w:r>
      <w:r w:rsidRPr="003238AF">
        <w:rPr>
          <w:rFonts w:ascii="Times New Roman" w:hAnsi="Times New Roman" w:cs="Times New Roman"/>
        </w:rPr>
        <w:br/>
        <w:t>Visualization library used to create all charts plots and visualizations including price trends volume analysis training curves and performance dashboards.</w:t>
      </w:r>
    </w:p>
    <w:p w14:paraId="2A0DFE2C"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9" w:tgtFrame="_blank" w:history="1">
        <w:r w:rsidRPr="003238AF">
          <w:rPr>
            <w:rStyle w:val="Hyperlink"/>
            <w:rFonts w:ascii="Times New Roman" w:hAnsi="Times New Roman" w:cs="Times New Roman"/>
          </w:rPr>
          <w:t>https://matplotlib.org/</w:t>
        </w:r>
      </w:hyperlink>
      <w:r w:rsidRPr="003238AF">
        <w:rPr>
          <w:rFonts w:ascii="Times New Roman" w:hAnsi="Times New Roman" w:cs="Times New Roman"/>
        </w:rPr>
        <w:br/>
        <w:t>License: PSF</w:t>
      </w:r>
    </w:p>
    <w:p w14:paraId="75DC9C19"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lastRenderedPageBreak/>
        <w:t>seaborn</w:t>
      </w:r>
      <w:r w:rsidRPr="003238AF">
        <w:rPr>
          <w:rFonts w:ascii="Times New Roman" w:hAnsi="Times New Roman" w:cs="Times New Roman"/>
        </w:rPr>
        <w:br/>
        <w:t>Statistical data visualization library built on matplotlib used for enhanced plot aesthetics and statistical visualizations.</w:t>
      </w:r>
    </w:p>
    <w:p w14:paraId="2B5D5B2D"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10" w:tgtFrame="_blank" w:history="1">
        <w:r w:rsidRPr="003238AF">
          <w:rPr>
            <w:rStyle w:val="Hyperlink"/>
            <w:rFonts w:ascii="Times New Roman" w:hAnsi="Times New Roman" w:cs="Times New Roman"/>
          </w:rPr>
          <w:t>https://seaborn.pydata.org/</w:t>
        </w:r>
      </w:hyperlink>
      <w:r w:rsidRPr="003238AF">
        <w:rPr>
          <w:rFonts w:ascii="Times New Roman" w:hAnsi="Times New Roman" w:cs="Times New Roman"/>
        </w:rPr>
        <w:br/>
        <w:t>License: BSD 3-Clause</w:t>
      </w:r>
    </w:p>
    <w:p w14:paraId="377F9CFF"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yfinance</w:t>
      </w:r>
      <w:r w:rsidRPr="003238AF">
        <w:rPr>
          <w:rFonts w:ascii="Times New Roman" w:hAnsi="Times New Roman" w:cs="Times New Roman"/>
        </w:rPr>
        <w:br/>
        <w:t>Python wrapper for Yahoo Finance API enabling automated download of historical stock price data. Significantly simplified data acquisition process.</w:t>
      </w:r>
    </w:p>
    <w:p w14:paraId="35B6BFB3"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11" w:tgtFrame="_blank" w:history="1">
        <w:r w:rsidRPr="003238AF">
          <w:rPr>
            <w:rStyle w:val="Hyperlink"/>
            <w:rFonts w:ascii="Times New Roman" w:hAnsi="Times New Roman" w:cs="Times New Roman"/>
          </w:rPr>
          <w:t>https://github.com/ranaroussi/yfinance</w:t>
        </w:r>
      </w:hyperlink>
      <w:r w:rsidRPr="003238AF">
        <w:rPr>
          <w:rFonts w:ascii="Times New Roman" w:hAnsi="Times New Roman" w:cs="Times New Roman"/>
        </w:rPr>
        <w:br/>
        <w:t>License: Apache 2.0</w:t>
      </w:r>
    </w:p>
    <w:p w14:paraId="3EE5006E"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ACADEMIC AND METHODOLOGICAL SOURCES</w:t>
      </w:r>
    </w:p>
    <w:p w14:paraId="724E63F5"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The following published research papers and academic works provided foundational knowledge and methodological guidance:</w:t>
      </w:r>
    </w:p>
    <w:p w14:paraId="445DB2B4"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Hochreiter and Schmidhuber 1997 Long Short-Term Memory</w:t>
      </w:r>
      <w:r w:rsidRPr="003238AF">
        <w:rPr>
          <w:rFonts w:ascii="Times New Roman" w:hAnsi="Times New Roman" w:cs="Times New Roman"/>
        </w:rPr>
        <w:br/>
        <w:t>Seminal work on LSTM networks addressing vanishing gradient problem in RNNs. Provided theoretical foundation for understanding GRU architecture as simplified LSTM variant.</w:t>
      </w:r>
    </w:p>
    <w:p w14:paraId="599D713D"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Cho et al 2014 Learning Phrase Representations using RNN Encoder-Decoder for Statistical Machine Translation</w:t>
      </w:r>
      <w:r w:rsidRPr="003238AF">
        <w:rPr>
          <w:rFonts w:ascii="Times New Roman" w:hAnsi="Times New Roman" w:cs="Times New Roman"/>
        </w:rPr>
        <w:br/>
        <w:t>Original GRU architecture introduction paper. Detailed mathematical specification of GRU gates and mechanisms directly informed model design.</w:t>
      </w:r>
    </w:p>
    <w:p w14:paraId="080E26CD"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Graves 2013 Generating Sequences With Recurrent Neural Networks</w:t>
      </w:r>
      <w:r w:rsidRPr="003238AF">
        <w:rPr>
          <w:rFonts w:ascii="Times New Roman" w:hAnsi="Times New Roman" w:cs="Times New Roman"/>
        </w:rPr>
        <w:br/>
        <w:t>Comprehensive treatment of RNN sequence modeling fundamentals and training procedures applicable to time series prediction.</w:t>
      </w:r>
    </w:p>
    <w:p w14:paraId="21F340B2"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LeCun Bengio and Hinton 2015 Deep Learning</w:t>
      </w:r>
      <w:r w:rsidRPr="003238AF">
        <w:rPr>
          <w:rFonts w:ascii="Times New Roman" w:hAnsi="Times New Roman" w:cs="Times New Roman"/>
        </w:rPr>
        <w:br/>
        <w:t>Foundational deep learning review article providing context for neural network methodologies and best practices.</w:t>
      </w:r>
    </w:p>
    <w:p w14:paraId="0C05A550"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Goodfellow Bengio and Courville 2016 Deep Learning Textbook</w:t>
      </w:r>
      <w:r w:rsidRPr="003238AF">
        <w:rPr>
          <w:rFonts w:ascii="Times New Roman" w:hAnsi="Times New Roman" w:cs="Times New Roman"/>
        </w:rPr>
        <w:br/>
        <w:t>Comprehensive deep learning reference providing theoretical grounding for architecture choices regularization techniques and training procedures.</w:t>
      </w:r>
    </w:p>
    <w:p w14:paraId="4FA3ADD3"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FINANCIAL DOMAIN KNOWLEDGE SOURCES</w:t>
      </w:r>
    </w:p>
    <w:p w14:paraId="55506798"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lastRenderedPageBreak/>
        <w:t>Murphy 1999 Technical Analysis of the Financial Markets</w:t>
      </w:r>
      <w:r w:rsidRPr="003238AF">
        <w:rPr>
          <w:rFonts w:ascii="Times New Roman" w:hAnsi="Times New Roman" w:cs="Times New Roman"/>
        </w:rPr>
        <w:br/>
        <w:t>Authoritative reference for technical indicator definitions and interpretation. Moving average MACD RSI and Bollinger Bands specifications followed standard definitions from this source.</w:t>
      </w:r>
    </w:p>
    <w:p w14:paraId="08A31A4C"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Pring 2002 Technical Analysis Explained</w:t>
      </w:r>
      <w:r w:rsidRPr="003238AF">
        <w:rPr>
          <w:rFonts w:ascii="Times New Roman" w:hAnsi="Times New Roman" w:cs="Times New Roman"/>
        </w:rPr>
        <w:br/>
        <w:t>Additional reference for technical indicator mathematics and financial market interpretation.</w:t>
      </w:r>
    </w:p>
    <w:p w14:paraId="7434948C"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Harris 2003 Trading and Exchanges Market Microstructure for Practitioners</w:t>
      </w:r>
      <w:r w:rsidRPr="003238AF">
        <w:rPr>
          <w:rFonts w:ascii="Times New Roman" w:hAnsi="Times New Roman" w:cs="Times New Roman"/>
        </w:rPr>
        <w:br/>
        <w:t>Essential reference for understanding transaction costs bid-ask spreads and realistic market execution assumptions incorporated into backtesting framework.</w:t>
      </w:r>
    </w:p>
    <w:p w14:paraId="2033AEE1"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QUANTITATIVE FINANCE METHODOLOGIES</w:t>
      </w:r>
    </w:p>
    <w:p w14:paraId="79C8B67E"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Markowitz 1952 Portfolio Selection</w:t>
      </w:r>
      <w:r w:rsidRPr="003238AF">
        <w:rPr>
          <w:rFonts w:ascii="Times New Roman" w:hAnsi="Times New Roman" w:cs="Times New Roman"/>
        </w:rPr>
        <w:br/>
        <w:t>Foundational portfolio theory providing context for risk-adjusted performance metrics including Sharpe ratio and efficient frontier concepts.</w:t>
      </w:r>
    </w:p>
    <w:p w14:paraId="240DE7ED"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Sharpe 1966 Mutual Fund Performance</w:t>
      </w:r>
      <w:r w:rsidRPr="003238AF">
        <w:rPr>
          <w:rFonts w:ascii="Times New Roman" w:hAnsi="Times New Roman" w:cs="Times New Roman"/>
        </w:rPr>
        <w:br/>
        <w:t>Original Sharpe ratio paper defining risk-adjusted return metric used extensively in this research.</w:t>
      </w:r>
    </w:p>
    <w:p w14:paraId="44873501"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MACHINE LEARNING IN FINANCE LITERATURE</w:t>
      </w:r>
    </w:p>
    <w:p w14:paraId="12095343"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Nelson Freeman and Pelagatti 2017 Time Series Forecasting with Deep Learning A Comparative Study in Stock Price Prediction</w:t>
      </w:r>
      <w:r w:rsidRPr="003238AF">
        <w:rPr>
          <w:rFonts w:ascii="Times New Roman" w:hAnsi="Times New Roman" w:cs="Times New Roman"/>
        </w:rPr>
        <w:br/>
        <w:t>Recent survey of deep learning applications to financial prediction providing context for GRU approach relative to alternative methodologies.</w:t>
      </w:r>
    </w:p>
    <w:p w14:paraId="0ACBFA66"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Sezer Gudelek and Ozbayoglu 2020 Financial Time Series Forecasting with Deep Learning: A Systematic Literature Review</w:t>
      </w:r>
      <w:r w:rsidRPr="003238AF">
        <w:rPr>
          <w:rFonts w:ascii="Times New Roman" w:hAnsi="Times New Roman" w:cs="Times New Roman"/>
        </w:rPr>
        <w:br/>
        <w:t>Comprehensive literature review identifying state-of-the-art approaches and performance benchmarks against which this research is evaluated.</w:t>
      </w:r>
    </w:p>
    <w:p w14:paraId="4E51D25A"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PERPLEXITY AI ASSISTANCE</w:t>
      </w:r>
    </w:p>
    <w:p w14:paraId="33FFA27C"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Throughout this research project Perplexity AI provided substantial technological assistance enhancing both research quality and efficiency.</w:t>
      </w:r>
    </w:p>
    <w:p w14:paraId="71093614"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Research Literature Synthesis</w:t>
      </w:r>
      <w:r w:rsidRPr="003238AF">
        <w:rPr>
          <w:rFonts w:ascii="Times New Roman" w:hAnsi="Times New Roman" w:cs="Times New Roman"/>
        </w:rPr>
        <w:br/>
        <w:t>Perplexity AI reviewed synthesized and summarized current research across machine learning quantitative finance and deep learning applications. This assistance enabled rapid integration of state-of-the-art methodologies and identification of relevant published work.</w:t>
      </w:r>
    </w:p>
    <w:p w14:paraId="096C7E9A"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lastRenderedPageBreak/>
        <w:t>Technical Problem Resolution</w:t>
      </w:r>
      <w:r w:rsidRPr="003238AF">
        <w:rPr>
          <w:rFonts w:ascii="Times New Roman" w:hAnsi="Times New Roman" w:cs="Times New Roman"/>
        </w:rPr>
        <w:br/>
        <w:t>Numerous technical challenges emerged during implementation including neural network training optimization debugging data preprocessing issues and resolving software compatibility problems. Perplexity AI provided expert guidance and solutions accelerating problem resolution and enabling rapid progress.</w:t>
      </w:r>
    </w:p>
    <w:p w14:paraId="22418BA0"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Code Quality Improvement</w:t>
      </w:r>
      <w:r w:rsidRPr="003238AF">
        <w:rPr>
          <w:rFonts w:ascii="Times New Roman" w:hAnsi="Times New Roman" w:cs="Times New Roman"/>
        </w:rPr>
        <w:br/>
        <w:t>Perplexity AI reviewed Python code implementations suggesting optimizations improving efficiency enhancing readability and increasing robustness. These improvements substantially elevated code quality and computational efficiency.</w:t>
      </w:r>
    </w:p>
    <w:p w14:paraId="47963D03"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Documentation Enhancement</w:t>
      </w:r>
      <w:r w:rsidRPr="003238AF">
        <w:rPr>
          <w:rFonts w:ascii="Times New Roman" w:hAnsi="Times New Roman" w:cs="Times New Roman"/>
        </w:rPr>
        <w:br/>
        <w:t>Professional documentation and comprehensive report generation benefited extensively from Perplexity AI assistance in organizing complex technical information into coherent narratives and creating presentation materials suitable for institutional audiences.</w:t>
      </w:r>
    </w:p>
    <w:p w14:paraId="69AF654B"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Methodology Validation</w:t>
      </w:r>
      <w:r w:rsidRPr="003238AF">
        <w:rPr>
          <w:rFonts w:ascii="Times New Roman" w:hAnsi="Times New Roman" w:cs="Times New Roman"/>
        </w:rPr>
        <w:br/>
        <w:t>Perplexity AI reviewed research methodology and analytical approach validating alignment with quantitative finance best practices academic research standards and scientific rigor.</w:t>
      </w:r>
    </w:p>
    <w:p w14:paraId="08CDD9D9"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Academic Rigor Assurance</w:t>
      </w:r>
      <w:r w:rsidRPr="003238AF">
        <w:rPr>
          <w:rFonts w:ascii="Times New Roman" w:hAnsi="Times New Roman" w:cs="Times New Roman"/>
        </w:rPr>
        <w:br/>
        <w:t>Throughout development Perplexity AI emphasized maintenance of careful academic standards preventing overstatement of results and ensuring appropriate hedging of conclusions with proper uncertainty acknowledgment.</w:t>
      </w:r>
    </w:p>
    <w:p w14:paraId="5C2B0703"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Professional Report Generation</w:t>
      </w:r>
      <w:r w:rsidRPr="003238AF">
        <w:rPr>
          <w:rFonts w:ascii="Times New Roman" w:hAnsi="Times New Roman" w:cs="Times New Roman"/>
        </w:rPr>
        <w:br/>
        <w:t>This institutional-grade research report benefited from Perplexity AI assistance in organizing complex technical findings into professional presentation format suitable for hedge fund managers endowment officers and institutional investment committees.</w:t>
      </w:r>
    </w:p>
    <w:p w14:paraId="79B8EC3B"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DATA SOURCE ATTRIBUTION</w:t>
      </w:r>
    </w:p>
    <w:p w14:paraId="464B9416"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Yahoo Finance</w:t>
      </w:r>
      <w:r w:rsidRPr="003238AF">
        <w:rPr>
          <w:rFonts w:ascii="Times New Roman" w:hAnsi="Times New Roman" w:cs="Times New Roman"/>
        </w:rPr>
        <w:br/>
        <w:t>Historical stock price data for Amazon IBM and Microsoft obtained through Yahoo Finance API via yfinance Python wrapper. Data quality verified and confirmed to have zero missing values across 1252 trading days from 2019 to 2024.</w:t>
      </w:r>
    </w:p>
    <w:p w14:paraId="5C7CE52F"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12" w:tgtFrame="_blank" w:history="1">
        <w:r w:rsidRPr="003238AF">
          <w:rPr>
            <w:rStyle w:val="Hyperlink"/>
            <w:rFonts w:ascii="Times New Roman" w:hAnsi="Times New Roman" w:cs="Times New Roman"/>
          </w:rPr>
          <w:t>https://finance.yahoo.com/</w:t>
        </w:r>
      </w:hyperlink>
      <w:r w:rsidRPr="003238AF">
        <w:rPr>
          <w:rFonts w:ascii="Times New Roman" w:hAnsi="Times New Roman" w:cs="Times New Roman"/>
        </w:rPr>
        <w:br/>
        <w:t>Data License: Usage rights governed by Yahoo terms of service</w:t>
      </w:r>
    </w:p>
    <w:p w14:paraId="3E712A12"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COMPUTATIONAL INFRASTRUCTURE</w:t>
      </w:r>
    </w:p>
    <w:p w14:paraId="1667C0E5"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lastRenderedPageBreak/>
        <w:t>Google Colab</w:t>
      </w:r>
      <w:r w:rsidRPr="003238AF">
        <w:rPr>
          <w:rFonts w:ascii="Times New Roman" w:hAnsi="Times New Roman" w:cs="Times New Roman"/>
        </w:rPr>
        <w:br/>
        <w:t>Cloud-based Jupyter notebook environment provided free GPU access enabling efficient model training and development. GPU hardware acceleration reduced training time from estimated 3 to 4 hours on CPU to 272 seconds on GPU.</w:t>
      </w:r>
    </w:p>
    <w:p w14:paraId="255FC831"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13" w:tgtFrame="_blank" w:history="1">
        <w:r w:rsidRPr="003238AF">
          <w:rPr>
            <w:rStyle w:val="Hyperlink"/>
            <w:rFonts w:ascii="Times New Roman" w:hAnsi="Times New Roman" w:cs="Times New Roman"/>
          </w:rPr>
          <w:t>https://colab.research.google.com/</w:t>
        </w:r>
      </w:hyperlink>
      <w:r w:rsidRPr="003238AF">
        <w:rPr>
          <w:rFonts w:ascii="Times New Roman" w:hAnsi="Times New Roman" w:cs="Times New Roman"/>
        </w:rPr>
        <w:br/>
        <w:t>License: Google Terms of Service</w:t>
      </w:r>
    </w:p>
    <w:p w14:paraId="668FBFB6"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NVIDIA CUDA and cuDNN</w:t>
      </w:r>
      <w:r w:rsidRPr="003238AF">
        <w:rPr>
          <w:rFonts w:ascii="Times New Roman" w:hAnsi="Times New Roman" w:cs="Times New Roman"/>
        </w:rPr>
        <w:br/>
        <w:t>GPU computing libraries enabling efficient deep learning computation. TensorFlow GPU support relies on these libraries.</w:t>
      </w:r>
    </w:p>
    <w:p w14:paraId="33BAA6FF"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14" w:tgtFrame="_blank" w:history="1">
        <w:r w:rsidRPr="003238AF">
          <w:rPr>
            <w:rStyle w:val="Hyperlink"/>
            <w:rFonts w:ascii="Times New Roman" w:hAnsi="Times New Roman" w:cs="Times New Roman"/>
          </w:rPr>
          <w:t>https://developer.nvidia.com/cuda-toolkit</w:t>
        </w:r>
      </w:hyperlink>
      <w:r w:rsidRPr="003238AF">
        <w:rPr>
          <w:rFonts w:ascii="Times New Roman" w:hAnsi="Times New Roman" w:cs="Times New Roman"/>
        </w:rPr>
        <w:br/>
        <w:t>License: NVIDIA Software License</w:t>
      </w:r>
    </w:p>
    <w:p w14:paraId="1AA56479"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EDUCATIONAL RESOURCES AND TUTORIALS</w:t>
      </w:r>
    </w:p>
    <w:p w14:paraId="560C35A5"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Keras Documentation</w:t>
      </w:r>
      <w:r w:rsidRPr="003238AF">
        <w:rPr>
          <w:rFonts w:ascii="Times New Roman" w:hAnsi="Times New Roman" w:cs="Times New Roman"/>
        </w:rPr>
        <w:br/>
        <w:t>Comprehensive documentation and tutorials from Keras project provided essential guidance for API usage and best practices.</w:t>
      </w:r>
    </w:p>
    <w:p w14:paraId="2D72E3EB"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15" w:tgtFrame="_blank" w:history="1">
        <w:r w:rsidRPr="003238AF">
          <w:rPr>
            <w:rStyle w:val="Hyperlink"/>
            <w:rFonts w:ascii="Times New Roman" w:hAnsi="Times New Roman" w:cs="Times New Roman"/>
          </w:rPr>
          <w:t>https://keras.io/</w:t>
        </w:r>
      </w:hyperlink>
      <w:r w:rsidRPr="003238AF">
        <w:rPr>
          <w:rFonts w:ascii="Times New Roman" w:hAnsi="Times New Roman" w:cs="Times New Roman"/>
        </w:rPr>
        <w:br/>
        <w:t>License: Apache 2.0</w:t>
      </w:r>
    </w:p>
    <w:p w14:paraId="2B9E7435"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TensorFlow Tutorials</w:t>
      </w:r>
      <w:r w:rsidRPr="003238AF">
        <w:rPr>
          <w:rFonts w:ascii="Times New Roman" w:hAnsi="Times New Roman" w:cs="Times New Roman"/>
        </w:rPr>
        <w:br/>
        <w:t>Official TensorFlow tutorials and guides provided examples and best practices for time series modeling and sequence prediction.</w:t>
      </w:r>
    </w:p>
    <w:p w14:paraId="78DCD3D1"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16" w:tgtFrame="_blank" w:history="1">
        <w:r w:rsidRPr="003238AF">
          <w:rPr>
            <w:rStyle w:val="Hyperlink"/>
            <w:rFonts w:ascii="Times New Roman" w:hAnsi="Times New Roman" w:cs="Times New Roman"/>
          </w:rPr>
          <w:t>https://www.tensorflow.org/tutorials</w:t>
        </w:r>
      </w:hyperlink>
      <w:r w:rsidRPr="003238AF">
        <w:rPr>
          <w:rFonts w:ascii="Times New Roman" w:hAnsi="Times New Roman" w:cs="Times New Roman"/>
        </w:rPr>
        <w:br/>
        <w:t>License: Apache 2.0</w:t>
      </w:r>
    </w:p>
    <w:p w14:paraId="4AB6EC77"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Scikit-learn Documentation</w:t>
      </w:r>
      <w:r w:rsidRPr="003238AF">
        <w:rPr>
          <w:rFonts w:ascii="Times New Roman" w:hAnsi="Times New Roman" w:cs="Times New Roman"/>
        </w:rPr>
        <w:br/>
        <w:t>Extensive documentation for scikit-learn provided detailed specifications for preprocessing functions and evaluation metrics.</w:t>
      </w:r>
    </w:p>
    <w:p w14:paraId="669A6E84"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17" w:tgtFrame="_blank" w:history="1">
        <w:r w:rsidRPr="003238AF">
          <w:rPr>
            <w:rStyle w:val="Hyperlink"/>
            <w:rFonts w:ascii="Times New Roman" w:hAnsi="Times New Roman" w:cs="Times New Roman"/>
          </w:rPr>
          <w:t>https://scikit-learn.org/stable/documentation.html</w:t>
        </w:r>
      </w:hyperlink>
      <w:r w:rsidRPr="003238AF">
        <w:rPr>
          <w:rFonts w:ascii="Times New Roman" w:hAnsi="Times New Roman" w:cs="Times New Roman"/>
        </w:rPr>
        <w:br/>
        <w:t>License: BSD 3-Clause</w:t>
      </w:r>
    </w:p>
    <w:p w14:paraId="4D8E9D43"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Stack Overflow Community</w:t>
      </w:r>
      <w:r w:rsidRPr="003238AF">
        <w:rPr>
          <w:rFonts w:ascii="Times New Roman" w:hAnsi="Times New Roman" w:cs="Times New Roman"/>
        </w:rPr>
        <w:br/>
        <w:t>Open source developer community provided solutions to technical problems and implementation challenges via Stack Overflow discussions.</w:t>
      </w:r>
    </w:p>
    <w:p w14:paraId="7333EEF9"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lastRenderedPageBreak/>
        <w:t>Source: </w:t>
      </w:r>
      <w:hyperlink r:id="rId18" w:tgtFrame="_blank" w:history="1">
        <w:r w:rsidRPr="003238AF">
          <w:rPr>
            <w:rStyle w:val="Hyperlink"/>
            <w:rFonts w:ascii="Times New Roman" w:hAnsi="Times New Roman" w:cs="Times New Roman"/>
          </w:rPr>
          <w:t>https://stackoverflow.com/</w:t>
        </w:r>
      </w:hyperlink>
      <w:r w:rsidRPr="003238AF">
        <w:rPr>
          <w:rFonts w:ascii="Times New Roman" w:hAnsi="Times New Roman" w:cs="Times New Roman"/>
        </w:rPr>
        <w:br/>
        <w:t>License: Community Contributed</w:t>
      </w:r>
    </w:p>
    <w:p w14:paraId="2A63CC48"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INSTITUTIONAL AND REGULATORY FRAMEWORKS</w:t>
      </w:r>
    </w:p>
    <w:p w14:paraId="51A0A95E"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Securities and Exchange Commission</w:t>
      </w:r>
      <w:r w:rsidRPr="003238AF">
        <w:rPr>
          <w:rFonts w:ascii="Times New Roman" w:hAnsi="Times New Roman" w:cs="Times New Roman"/>
        </w:rPr>
        <w:br/>
        <w:t>SEC publications on algorithmic trading and market regulation provided context for compliance considerations and regulatory environment.</w:t>
      </w:r>
    </w:p>
    <w:p w14:paraId="1B8E525E"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19" w:tgtFrame="_blank" w:history="1">
        <w:r w:rsidRPr="003238AF">
          <w:rPr>
            <w:rStyle w:val="Hyperlink"/>
            <w:rFonts w:ascii="Times New Roman" w:hAnsi="Times New Roman" w:cs="Times New Roman"/>
          </w:rPr>
          <w:t>https://www.sec.gov/</w:t>
        </w:r>
      </w:hyperlink>
      <w:r w:rsidRPr="003238AF">
        <w:rPr>
          <w:rFonts w:ascii="Times New Roman" w:hAnsi="Times New Roman" w:cs="Times New Roman"/>
        </w:rPr>
        <w:br/>
        <w:t>License: Public Domain</w:t>
      </w:r>
    </w:p>
    <w:p w14:paraId="3DFAA41C"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Financial Industry Regulatory Authority</w:t>
      </w:r>
      <w:r w:rsidRPr="003238AF">
        <w:rPr>
          <w:rFonts w:ascii="Times New Roman" w:hAnsi="Times New Roman" w:cs="Times New Roman"/>
        </w:rPr>
        <w:br/>
        <w:t>FINRA publications on trading practices and oversight provided regulatory context.</w:t>
      </w:r>
    </w:p>
    <w:p w14:paraId="53769658"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Source: </w:t>
      </w:r>
      <w:hyperlink r:id="rId20" w:tgtFrame="_blank" w:history="1">
        <w:r w:rsidRPr="003238AF">
          <w:rPr>
            <w:rStyle w:val="Hyperlink"/>
            <w:rFonts w:ascii="Times New Roman" w:hAnsi="Times New Roman" w:cs="Times New Roman"/>
          </w:rPr>
          <w:t>https://www.finra.org/</w:t>
        </w:r>
      </w:hyperlink>
      <w:r w:rsidRPr="003238AF">
        <w:rPr>
          <w:rFonts w:ascii="Times New Roman" w:hAnsi="Times New Roman" w:cs="Times New Roman"/>
        </w:rPr>
        <w:br/>
        <w:t>License: Public Domain</w:t>
      </w:r>
    </w:p>
    <w:p w14:paraId="07729573"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COLLABORATIVE CONTRIBUTIONS AND INFLUENCES</w:t>
      </w:r>
    </w:p>
    <w:p w14:paraId="51DC0A55"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This research represents synthesis and extension of established knowledge rather than entirely novel innovation. The quantitative finance community through published research open-source software contributions and collaborative discussions in academic venues and professional forums provided the intellectual foundation enabling this work.</w:t>
      </w:r>
    </w:p>
    <w:p w14:paraId="01854982"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Academic advisors and colleagues provided review feedback and suggestions improving research methodology and presentation quality.</w:t>
      </w:r>
    </w:p>
    <w:p w14:paraId="71619F8B"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The open-source software community through contributions to TensorFlow scikit-learn pandas and related libraries provided essential tools enabling modern machine learning research.</w:t>
      </w:r>
    </w:p>
    <w:p w14:paraId="493294DA"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INTEGRITY STATEMENT</w:t>
      </w:r>
    </w:p>
    <w:p w14:paraId="34855014"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The author acknowledges that this research builds upon collective knowledge accumulated across quantitative finance computer science statistics and software engineering disciplines. No proprietary information from commercial sources was incorporated without appropriate acknowledgment.</w:t>
      </w:r>
    </w:p>
    <w:p w14:paraId="795DE3C8"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Published research papers academic textbooks and open-source software communities are credited throughout this report reflecting the collaborative nature of modern scientific research.</w:t>
      </w:r>
    </w:p>
    <w:p w14:paraId="21F86BAA"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lastRenderedPageBreak/>
        <w:t>This work represents educational research and academic analysis rather than commercial product development or financial advice. All claims and conclusions are supported by rigorous analysis of empirical results.</w:t>
      </w:r>
    </w:p>
    <w:p w14:paraId="524723E9"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The author takes responsibility for all analytical choices implementation decisions and conclusions drawn from the research while acknowledging the substantial contributions from the academic and open-source communities documented in these credits.</w:t>
      </w:r>
    </w:p>
    <w:p w14:paraId="0E39829B" w14:textId="77777777" w:rsidR="003238AF" w:rsidRPr="003238AF" w:rsidRDefault="00957DD6" w:rsidP="003238AF">
      <w:pPr>
        <w:spacing w:after="210" w:line="360" w:lineRule="auto"/>
        <w:rPr>
          <w:rFonts w:ascii="Times New Roman" w:hAnsi="Times New Roman" w:cs="Times New Roman"/>
        </w:rPr>
      </w:pPr>
      <w:r w:rsidRPr="003238AF">
        <w:rPr>
          <w:rFonts w:ascii="Times New Roman" w:hAnsi="Times New Roman" w:cs="Times New Roman"/>
          <w:noProof/>
        </w:rPr>
        <w:pict w14:anchorId="4D5AE4AE">
          <v:rect id="_x0000_i1025" alt="" style="width:468pt;height:.05pt;mso-width-percent:0;mso-height-percent:0;mso-width-percent:0;mso-height-percent:0" o:hralign="center" o:hrstd="t" o:hr="t" fillcolor="#a0a0a0" stroked="f"/>
        </w:pict>
      </w:r>
    </w:p>
    <w:p w14:paraId="4F54296F" w14:textId="77777777" w:rsidR="003238AF" w:rsidRPr="003238AF" w:rsidRDefault="003238AF" w:rsidP="003238AF">
      <w:pPr>
        <w:spacing w:after="210" w:line="360" w:lineRule="auto"/>
        <w:rPr>
          <w:rFonts w:ascii="Times New Roman" w:hAnsi="Times New Roman" w:cs="Times New Roman"/>
          <w:b/>
          <w:bCs/>
        </w:rPr>
      </w:pPr>
      <w:r w:rsidRPr="003238AF">
        <w:rPr>
          <w:rFonts w:ascii="Times New Roman" w:hAnsi="Times New Roman" w:cs="Times New Roman"/>
          <w:b/>
          <w:bCs/>
        </w:rPr>
        <w:t>FINAL ATTRIBUTION SUMMARY</w:t>
      </w:r>
    </w:p>
    <w:p w14:paraId="6AC658D8"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This institutional research report represents synthesis of:</w:t>
      </w:r>
    </w:p>
    <w:p w14:paraId="564B4849"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Open source software frameworks and libraries from global developer community</w:t>
      </w:r>
      <w:r w:rsidRPr="003238AF">
        <w:rPr>
          <w:rFonts w:ascii="Times New Roman" w:hAnsi="Times New Roman" w:cs="Times New Roman"/>
        </w:rPr>
        <w:br/>
        <w:t>Published academic research from leading quantitative finance and machine learning researchers</w:t>
      </w:r>
      <w:r w:rsidRPr="003238AF">
        <w:rPr>
          <w:rFonts w:ascii="Times New Roman" w:hAnsi="Times New Roman" w:cs="Times New Roman"/>
        </w:rPr>
        <w:br/>
        <w:t>Financial domain knowledge from technical analysis and market microstructure literature</w:t>
      </w:r>
      <w:r w:rsidRPr="003238AF">
        <w:rPr>
          <w:rFonts w:ascii="Times New Roman" w:hAnsi="Times New Roman" w:cs="Times New Roman"/>
        </w:rPr>
        <w:br/>
        <w:t>Institutional best practices from quantitative hedge funds and asset managers</w:t>
      </w:r>
      <w:r w:rsidRPr="003238AF">
        <w:rPr>
          <w:rFonts w:ascii="Times New Roman" w:hAnsi="Times New Roman" w:cs="Times New Roman"/>
        </w:rPr>
        <w:br/>
        <w:t>Technological assistance from Perplexity AI improving research quality</w:t>
      </w:r>
      <w:r w:rsidRPr="003238AF">
        <w:rPr>
          <w:rFonts w:ascii="Times New Roman" w:hAnsi="Times New Roman" w:cs="Times New Roman"/>
        </w:rPr>
        <w:br/>
        <w:t>Data from Yahoo Finance API</w:t>
      </w:r>
      <w:r w:rsidRPr="003238AF">
        <w:rPr>
          <w:rFonts w:ascii="Times New Roman" w:hAnsi="Times New Roman" w:cs="Times New Roman"/>
        </w:rPr>
        <w:br/>
        <w:t>Educational resources and tutorials from framework developers</w:t>
      </w:r>
    </w:p>
    <w:p w14:paraId="2120EF10" w14:textId="77777777" w:rsidR="003238AF" w:rsidRPr="003238AF" w:rsidRDefault="003238AF" w:rsidP="003238AF">
      <w:pPr>
        <w:spacing w:after="210" w:line="360" w:lineRule="auto"/>
        <w:rPr>
          <w:rFonts w:ascii="Times New Roman" w:hAnsi="Times New Roman" w:cs="Times New Roman"/>
        </w:rPr>
      </w:pPr>
      <w:r w:rsidRPr="003238AF">
        <w:rPr>
          <w:rFonts w:ascii="Times New Roman" w:hAnsi="Times New Roman" w:cs="Times New Roman"/>
        </w:rPr>
        <w:t>The research was conducted with careful attention to academic integrity proper attribution and scientific rigor. All sources from which ideas methodologies or implementations were derived are acknowledged herein.</w:t>
      </w:r>
    </w:p>
    <w:p w14:paraId="07800ACA" w14:textId="77777777" w:rsidR="003238AF" w:rsidRPr="003238AF" w:rsidRDefault="003238AF" w:rsidP="003238AF">
      <w:pPr>
        <w:spacing w:after="210" w:line="360" w:lineRule="auto"/>
        <w:rPr>
          <w:rFonts w:ascii="Times New Roman" w:hAnsi="Times New Roman" w:cs="Times New Roman"/>
        </w:rPr>
      </w:pPr>
    </w:p>
    <w:p w14:paraId="09124BF3" w14:textId="77777777" w:rsidR="004F4727" w:rsidRPr="003238AF" w:rsidRDefault="004F4727" w:rsidP="003238AF">
      <w:pPr>
        <w:spacing w:after="210" w:line="360" w:lineRule="auto"/>
        <w:rPr>
          <w:rFonts w:ascii="Times New Roman" w:hAnsi="Times New Roman" w:cs="Times New Roman"/>
        </w:rPr>
      </w:pPr>
    </w:p>
    <w:sectPr w:rsidR="004F4727" w:rsidRPr="003238A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F6B34"/>
    <w:multiLevelType w:val="hybridMultilevel"/>
    <w:tmpl w:val="DE4A4044"/>
    <w:lvl w:ilvl="0" w:tplc="D4847820">
      <w:numFmt w:val="decimal"/>
      <w:lvlText w:val=""/>
      <w:lvlJc w:val="left"/>
    </w:lvl>
    <w:lvl w:ilvl="1" w:tplc="F29262B8">
      <w:numFmt w:val="decimal"/>
      <w:lvlText w:val=""/>
      <w:lvlJc w:val="left"/>
    </w:lvl>
    <w:lvl w:ilvl="2" w:tplc="BB16D6A0">
      <w:numFmt w:val="decimal"/>
      <w:lvlText w:val=""/>
      <w:lvlJc w:val="left"/>
    </w:lvl>
    <w:lvl w:ilvl="3" w:tplc="466C0A78">
      <w:numFmt w:val="decimal"/>
      <w:lvlText w:val=""/>
      <w:lvlJc w:val="left"/>
    </w:lvl>
    <w:lvl w:ilvl="4" w:tplc="15CEDE56">
      <w:numFmt w:val="decimal"/>
      <w:lvlText w:val=""/>
      <w:lvlJc w:val="left"/>
    </w:lvl>
    <w:lvl w:ilvl="5" w:tplc="4244B10A">
      <w:numFmt w:val="decimal"/>
      <w:lvlText w:val=""/>
      <w:lvlJc w:val="left"/>
    </w:lvl>
    <w:lvl w:ilvl="6" w:tplc="38B26EB4">
      <w:numFmt w:val="decimal"/>
      <w:lvlText w:val=""/>
      <w:lvlJc w:val="left"/>
    </w:lvl>
    <w:lvl w:ilvl="7" w:tplc="683897C0">
      <w:numFmt w:val="decimal"/>
      <w:lvlText w:val=""/>
      <w:lvlJc w:val="left"/>
    </w:lvl>
    <w:lvl w:ilvl="8" w:tplc="3B8E1D20">
      <w:numFmt w:val="decimal"/>
      <w:lvlText w:val=""/>
      <w:lvlJc w:val="left"/>
    </w:lvl>
  </w:abstractNum>
  <w:abstractNum w:abstractNumId="1" w15:restartNumberingAfterBreak="0">
    <w:nsid w:val="495D453C"/>
    <w:multiLevelType w:val="hybridMultilevel"/>
    <w:tmpl w:val="C18C8A3C"/>
    <w:lvl w:ilvl="0" w:tplc="88AA7162">
      <w:start w:val="1"/>
      <w:numFmt w:val="decimal"/>
      <w:lvlText w:val="%1."/>
      <w:lvlJc w:val="left"/>
      <w:pPr>
        <w:tabs>
          <w:tab w:val="num" w:pos="900"/>
        </w:tabs>
        <w:ind w:left="540" w:hanging="360"/>
      </w:pPr>
    </w:lvl>
    <w:lvl w:ilvl="1" w:tplc="15B8750E">
      <w:numFmt w:val="decimal"/>
      <w:lvlText w:val=""/>
      <w:lvlJc w:val="left"/>
    </w:lvl>
    <w:lvl w:ilvl="2" w:tplc="FC70FE02">
      <w:numFmt w:val="decimal"/>
      <w:lvlText w:val=""/>
      <w:lvlJc w:val="left"/>
    </w:lvl>
    <w:lvl w:ilvl="3" w:tplc="57663AEA">
      <w:numFmt w:val="decimal"/>
      <w:lvlText w:val=""/>
      <w:lvlJc w:val="left"/>
    </w:lvl>
    <w:lvl w:ilvl="4" w:tplc="8DDCCCE2">
      <w:numFmt w:val="decimal"/>
      <w:lvlText w:val=""/>
      <w:lvlJc w:val="left"/>
    </w:lvl>
    <w:lvl w:ilvl="5" w:tplc="7EEA5ED4">
      <w:numFmt w:val="decimal"/>
      <w:lvlText w:val=""/>
      <w:lvlJc w:val="left"/>
    </w:lvl>
    <w:lvl w:ilvl="6" w:tplc="5A667736">
      <w:numFmt w:val="decimal"/>
      <w:lvlText w:val=""/>
      <w:lvlJc w:val="left"/>
    </w:lvl>
    <w:lvl w:ilvl="7" w:tplc="E206C47E">
      <w:numFmt w:val="decimal"/>
      <w:lvlText w:val=""/>
      <w:lvlJc w:val="left"/>
    </w:lvl>
    <w:lvl w:ilvl="8" w:tplc="BA0E21C4">
      <w:numFmt w:val="decimal"/>
      <w:lvlText w:val=""/>
      <w:lvlJc w:val="left"/>
    </w:lvl>
  </w:abstractNum>
  <w:num w:numId="1" w16cid:durableId="1987394969">
    <w:abstractNumId w:val="0"/>
  </w:num>
  <w:num w:numId="2" w16cid:durableId="607928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727"/>
    <w:rsid w:val="003238AF"/>
    <w:rsid w:val="004F4727"/>
    <w:rsid w:val="00921497"/>
    <w:rsid w:val="00957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3CF0418"/>
  <w15:docId w15:val="{2509EA2B-D626-CA45-8CF1-267BC5841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3238AF"/>
    <w:rPr>
      <w:color w:val="467886" w:themeColor="hyperlink"/>
      <w:u w:val="single"/>
    </w:rPr>
  </w:style>
  <w:style w:type="character" w:styleId="UnresolvedMention">
    <w:name w:val="Unresolved Mention"/>
    <w:basedOn w:val="DefaultParagraphFont"/>
    <w:uiPriority w:val="99"/>
    <w:semiHidden/>
    <w:unhideWhenUsed/>
    <w:rsid w:val="003238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umpy.org/" TargetMode="External"/><Relationship Id="rId13" Type="http://schemas.openxmlformats.org/officeDocument/2006/relationships/hyperlink" Target="https://colab.research.google.com/" TargetMode="External"/><Relationship Id="rId18" Type="http://schemas.openxmlformats.org/officeDocument/2006/relationships/hyperlink" Target="https://stackoverflow.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andas.pydata.org/" TargetMode="External"/><Relationship Id="rId12" Type="http://schemas.openxmlformats.org/officeDocument/2006/relationships/hyperlink" Target="https://finance.yahoo.com/" TargetMode="External"/><Relationship Id="rId17" Type="http://schemas.openxmlformats.org/officeDocument/2006/relationships/hyperlink" Target="https://scikit-learn.org/stable/documentation.html" TargetMode="External"/><Relationship Id="rId2" Type="http://schemas.openxmlformats.org/officeDocument/2006/relationships/styles" Target="styles.xml"/><Relationship Id="rId16" Type="http://schemas.openxmlformats.org/officeDocument/2006/relationships/hyperlink" Target="https://www.tensorflow.org/tutorials" TargetMode="External"/><Relationship Id="rId20" Type="http://schemas.openxmlformats.org/officeDocument/2006/relationships/hyperlink" Target="https://www.finra.org/" TargetMode="External"/><Relationship Id="rId1" Type="http://schemas.openxmlformats.org/officeDocument/2006/relationships/numbering" Target="numbering.xml"/><Relationship Id="rId6" Type="http://schemas.openxmlformats.org/officeDocument/2006/relationships/hyperlink" Target="https://scikit-learn.org/" TargetMode="External"/><Relationship Id="rId11" Type="http://schemas.openxmlformats.org/officeDocument/2006/relationships/hyperlink" Target="https://github.com/ranaroussi/yfinance" TargetMode="External"/><Relationship Id="rId5" Type="http://schemas.openxmlformats.org/officeDocument/2006/relationships/hyperlink" Target="https://www.tensorflow.org/" TargetMode="External"/><Relationship Id="rId15" Type="http://schemas.openxmlformats.org/officeDocument/2006/relationships/hyperlink" Target="https://keras.io/" TargetMode="External"/><Relationship Id="rId10" Type="http://schemas.openxmlformats.org/officeDocument/2006/relationships/hyperlink" Target="https://seaborn.pydata.org/" TargetMode="External"/><Relationship Id="rId19" Type="http://schemas.openxmlformats.org/officeDocument/2006/relationships/hyperlink" Target="https://www.sec.gov/" TargetMode="External"/><Relationship Id="rId4" Type="http://schemas.openxmlformats.org/officeDocument/2006/relationships/webSettings" Target="webSettings.xml"/><Relationship Id="rId9" Type="http://schemas.openxmlformats.org/officeDocument/2006/relationships/hyperlink" Target="https://matplotlib.org/" TargetMode="External"/><Relationship Id="rId14" Type="http://schemas.openxmlformats.org/officeDocument/2006/relationships/hyperlink" Target="https://developer.nvidia.com/cuda-toolki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9697</Words>
  <Characters>55276</Characters>
  <Application>Microsoft Office Word</Application>
  <DocSecurity>0</DocSecurity>
  <Lines>460</Lines>
  <Paragraphs>129</Paragraphs>
  <ScaleCrop>false</ScaleCrop>
  <Company/>
  <LinksUpToDate>false</LinksUpToDate>
  <CharactersWithSpaces>64844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Shrey Jain</cp:lastModifiedBy>
  <cp:revision>2</cp:revision>
  <dcterms:created xsi:type="dcterms:W3CDTF">2026-01-13T13:44:00Z</dcterms:created>
  <dcterms:modified xsi:type="dcterms:W3CDTF">2026-01-13T13:48:00Z</dcterms:modified>
</cp:coreProperties>
</file>