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2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Satish Kumar </w:t>
        <w:br w:type="textWrapping"/>
        <w:t xml:space="preserve">2501, Sector 9A, Bahadurgarh</w:t>
        <w:br w:type="textWrapping"/>
        <w:t xml:space="preserve">Jhajjar, Haryana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 COMPLAINANT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United India Insurance Company Ltd </w:t>
        <w:br w:type="textWrapping"/>
        <w:t xml:space="preserve">Plot No. 78 </w:t>
        <w:br w:type="textWrapping"/>
        <w:t xml:space="preserve">Above Union Bank of India</w:t>
        <w:br w:type="textWrapping"/>
        <w:t xml:space="preserve">Delhi Road, Sonepat</w:t>
      </w:r>
    </w:p>
    <w:p w:rsidR="00000000" w:rsidDel="00000000" w:rsidP="00000000" w:rsidRDefault="00000000" w:rsidRPr="00000000" w14:paraId="00000006">
      <w:pPr>
        <w:spacing w:after="160" w:line="360" w:lineRule="auto"/>
        <w:jc w:val="right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OPPOSITE PARTY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Satish Kumar, Jhajjhar, Haryana, do hereby solemnly affirm and state as follows: -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1-21 are true to my knowledge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Sonepat.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1">
      <w:pPr>
        <w:spacing w:after="160" w:line="360" w:lineRule="auto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