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4"/>
          <w:tab w:val="left" w:leader="none" w:pos="7339"/>
        </w:tabs>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aged 46, son of Mars, residing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56/934, 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Vimala Nagar, Cosmos-45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10 in Bruno v Cenza Bank 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ER6sS2M97ERHpEIMyEeu/Ndvrw==">CgMxLjA4AHIhMVRyZTllM0JoTk5lWUhlMExxNllnYzgwSkNOZzRhWU1I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