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water service provider is not giving sufficient water supply to us.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about the insufficient water supply. Have you tried reaching out to the water service provider to formally report the issue?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approached the opposite party several times but they did not care to redress our grievances.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It’s disheartening to hear that your attempts to resolve the water supply issue have not been successful. When a service provider ignores repeated complaints, it’s time to consider more formal legal steps to ensure your grievances are addressed. You can send a legal notice to them detailing the particulars of the complaint, the relief sought, and a reasonable time period for the service provider to comply.</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P.K.Chandy. My address is Planthanathu Karottu House Poovanthuruthu P.O, Panachikadu Village Kottayam Taluk, Kottayam District-686012. The opposite party is Kerala Water Authority and is represented by its Executive Engineer. It is located in P.H.Sub Division, Collectorate P.O, Kottayam-02.</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of the service connection number related to your water service? Further please provide the details of the water supply issue, your approach, if any, to the service provider and their response.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are availing domestic connections of the opposite party. They failed to give sufficient water supply to us during the summer season as agreed. Though we approached the opposite party several times they did not care to redress the grievances of the complainant. All the water connections are provided under the Kolladu Rural Water scheme. The water to be supplied to the complainants is stored in the water tank at Kolladu. But in the course of supply when the water reaches the Kaduvakulam point the opposite party bifurcates the water in three areas and to the east of Kaduvakkulam using a valve placed at the Kaduvakkulam point. The present president of Panachikkadu Grama Panchayath who is elected from ward no. 22 influenced MLA and has removed the valve which is placed for regulating the supply of water and has provisioned easy and regular supply of water to ward no. 22. Due to the non supply of water, I had to depend on other sources including hiring of water by spending large amounts.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opposite party committed deficiency in service and hence are liable to compensate us Rs.50,000/- and regular water supply.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drafted. Please ensure that you fill in your signature and other specific details before filing. Attach all relevant documents, such as the copy of your service provider account, previous bills, any correspondence with the water service provider and proof of payment. It’s advisable to consult with a legal professional to review the complaint and guide you through the process of filing it with the consumer forum.</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w:t>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w:t>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w:t>
      </w:r>
    </w:p>
    <w:p w:rsidR="00000000" w:rsidDel="00000000" w:rsidP="00000000" w:rsidRDefault="00000000" w:rsidRPr="00000000" w14:paraId="0000005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mW6rdPD-1A57s1ZXdDLvp5nyum8dqaCQHwpzL3JO6Ko/edit" TargetMode="External"/><Relationship Id="rId9" Type="http://schemas.openxmlformats.org/officeDocument/2006/relationships/hyperlink" Target="https://docs.google.com/document/d/1dWfwV1w6ZJAIrF6VMFe3KvZI-FYPdn3LMX_WRk5CG7s/edit" TargetMode="External"/><Relationship Id="rId5" Type="http://schemas.openxmlformats.org/officeDocument/2006/relationships/styles" Target="styles.xml"/><Relationship Id="rId6" Type="http://schemas.openxmlformats.org/officeDocument/2006/relationships/hyperlink" Target="https://docs.google.com/document/d/1ZrQ2Qu8NfD413pljg4bRU6O5dbutW4DRAuAjeoUE1j4/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4KDZnxFSMjCZPrU_b5yLkq0R5A2x6H6UHHqyopCE7g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