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COMMISSION, NORTH GOA, AT PROVORIM</w:t>
      </w:r>
    </w:p>
    <w:p w:rsidR="00000000" w:rsidDel="00000000" w:rsidP="00000000" w:rsidRDefault="00000000" w:rsidRPr="00000000" w14:paraId="00000002">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Complaint No. ______of 20</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BETWEEN:</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Mrs. Mary J.F Victoria Gomes, </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School Teacher </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W/o Richard Fernandes, </w:t>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 47 years,  Residing at H. No. 90, </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Near St. Braz Church </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Gandaulim Cumbarjua, </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North Goa.</w:t>
        <w:tab/>
        <w:tab/>
        <w:tab/>
        <w:tab/>
        <w:tab/>
        <w:tab/>
        <w:t xml:space="preserve">....COMPLAINANT</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M/s Pereira Electronics and Electricals, </w:t>
      </w:r>
    </w:p>
    <w:p w:rsidR="00000000" w:rsidDel="00000000" w:rsidP="00000000" w:rsidRDefault="00000000" w:rsidRPr="00000000" w14:paraId="0000000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Represented by its Proprietor/Partner, </w:t>
      </w:r>
    </w:p>
    <w:p w:rsidR="00000000" w:rsidDel="00000000" w:rsidP="00000000" w:rsidRDefault="00000000" w:rsidRPr="00000000" w14:paraId="0000000E">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Trinity Apartment, </w:t>
      </w:r>
    </w:p>
    <w:p w:rsidR="00000000" w:rsidDel="00000000" w:rsidP="00000000" w:rsidRDefault="00000000" w:rsidRPr="00000000" w14:paraId="0000000F">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Opp Malik Petrol Pump,</w:t>
      </w:r>
    </w:p>
    <w:p w:rsidR="00000000" w:rsidDel="00000000" w:rsidP="00000000" w:rsidRDefault="00000000" w:rsidRPr="00000000" w14:paraId="00000010">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Molar, Corlim, Goa – 403110</w:t>
      </w:r>
    </w:p>
    <w:p w:rsidR="00000000" w:rsidDel="00000000" w:rsidP="00000000" w:rsidRDefault="00000000" w:rsidRPr="00000000" w14:paraId="00000011">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Haier Appliance India Pvt. Ltd. Building No. 1 </w:t>
      </w:r>
    </w:p>
    <w:p w:rsidR="00000000" w:rsidDel="00000000" w:rsidP="00000000" w:rsidRDefault="00000000" w:rsidRPr="00000000" w14:paraId="00000012">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Okhla Industrial Estate Phase II,</w:t>
      </w:r>
    </w:p>
    <w:p w:rsidR="00000000" w:rsidDel="00000000" w:rsidP="00000000" w:rsidRDefault="00000000" w:rsidRPr="00000000" w14:paraId="0000001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New Delhi 110020. </w:t>
        <w:tab/>
        <w:tab/>
        <w:tab/>
        <w:tab/>
        <w:tab/>
        <w:t xml:space="preserve">.... OPPOSITE PARTIES</w:t>
      </w:r>
    </w:p>
    <w:p w:rsidR="00000000" w:rsidDel="00000000" w:rsidP="00000000" w:rsidRDefault="00000000" w:rsidRPr="00000000" w14:paraId="00000014">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Bookman Old Style" w:cs="Bookman Old Style" w:eastAsia="Bookman Old Style" w:hAnsi="Bookman Old Style"/>
          <w:b w:val="1"/>
          <w:sz w:val="24"/>
          <w:szCs w:val="24"/>
          <w:u w:val="single"/>
        </w:rPr>
      </w:pPr>
      <w:bookmarkStart w:colFirst="0" w:colLast="0" w:name="_heading=h.gjdgxs" w:id="0"/>
      <w:bookmarkEnd w:id="0"/>
      <w:r w:rsidDel="00000000" w:rsidR="00000000" w:rsidRPr="00000000">
        <w:rPr>
          <w:rFonts w:ascii="Bookman Old Style" w:cs="Bookman Old Style" w:eastAsia="Bookman Old Style" w:hAnsi="Bookman Old Style"/>
          <w:b w:val="1"/>
          <w:sz w:val="24"/>
          <w:szCs w:val="24"/>
          <w:u w:val="single"/>
          <w:rtl w:val="0"/>
        </w:rPr>
        <w:t xml:space="preserve">COMPLAINT UNDER SECTION 35 OF THE CONSUMER PROTECTION ACT, 2019</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C">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respectfully submits that she purchased a LED LCD TV Haier Model LE32K6600GAw vide Bill no. 106 dated 20.10.2021 for Rs. 20,000/- after exchanging her old television for Rs. 2,000/- from the Opposite Party no. 1. The television was working properly at the time of purchase after due inspection.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However, within the warranty period on 29.03.2022, the television developed issues with its display. The Complainant promptly contacted the dealer's technician and sent photographs as requested on 30.03.2022. However, the technician arbitrarily dismissed the issue as physical damage without proof and denied service under warranty.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tried to resolve the issue by sending a legal notice dated 14.04.2022 but the Opposite Parties failed to address it satisfactorily. She affirms </w:t>
      </w:r>
      <w:r w:rsidDel="00000000" w:rsidR="00000000" w:rsidRPr="00000000">
        <w:rPr>
          <w:rFonts w:ascii="Bookman Old Style" w:cs="Bookman Old Style" w:eastAsia="Bookman Old Style" w:hAnsi="Bookman Old Style"/>
          <w:sz w:val="28"/>
          <w:szCs w:val="28"/>
          <w:rtl w:val="0"/>
        </w:rPr>
        <w:t xml:space="preserve">she causes no physical damage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and it is certainly a manufacturing defect. The arbitrary denial of service amounts to gross deficiency in service and unfair trade practice.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has suffered immense harassment, agony and pecuniary loss due to the callous attitude and false claims of the Opposite Parties. Her repeated requests and notice have been ignored forcing her to approach this Commission.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Parties are jointly and severally liable for the manufacturing defect, unfair trade practice, denial of service under warranty and deficiency in service which has resulted in financial loss, harassment and mental agony.</w:t>
      </w:r>
    </w:p>
    <w:p w:rsidR="00000000" w:rsidDel="00000000" w:rsidP="00000000" w:rsidRDefault="00000000" w:rsidRPr="00000000" w14:paraId="00000022">
      <w:pPr>
        <w:spacing w:after="200" w:line="360" w:lineRule="auto"/>
        <w:jc w:val="both"/>
        <w:rPr>
          <w:rFonts w:ascii="Bookman Old Style" w:cs="Bookman Old Style" w:eastAsia="Bookman Old Style" w:hAnsi="Bookman Old Style"/>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23">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24">
      <w:pPr>
        <w:numPr>
          <w:ilvl w:val="0"/>
          <w:numId w:val="1"/>
        </w:numPr>
        <w:spacing w:after="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Cause of action of this arose on 30/03/2022 when the  Complainant contacted the dealer's technician and sent photographs, requesting repair. However, the technician arbitrarily dismissed the issue as physical damage without proof and denied service under warranty and it continued till 14/04/2022 when the Complainant issued a legal notice however, the Opposite party failed to resolve the dispute. </w:t>
      </w:r>
    </w:p>
    <w:p w:rsidR="00000000" w:rsidDel="00000000" w:rsidP="00000000" w:rsidRDefault="00000000" w:rsidRPr="00000000" w14:paraId="00000025">
      <w:pPr>
        <w:spacing w:after="0" w:line="36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V] </w:t>
      </w:r>
      <w:r w:rsidDel="00000000" w:rsidR="00000000" w:rsidRPr="00000000">
        <w:rPr>
          <w:rFonts w:ascii="Bookman Old Style" w:cs="Bookman Old Style" w:eastAsia="Bookman Old Style" w:hAnsi="Bookman Old Style"/>
          <w:b w:val="1"/>
          <w:sz w:val="28"/>
          <w:szCs w:val="28"/>
          <w:rtl w:val="0"/>
        </w:rPr>
        <w:t xml:space="preserve">Limitation Period </w:t>
      </w:r>
    </w:p>
    <w:p w:rsidR="00000000" w:rsidDel="00000000" w:rsidP="00000000" w:rsidRDefault="00000000" w:rsidRPr="00000000" w14:paraId="00000027">
      <w:pPr>
        <w:widowControl w:val="0"/>
        <w:spacing w:after="0" w:before="120" w:line="240" w:lineRule="auto"/>
        <w:ind w:left="360" w:firstLine="0"/>
        <w:jc w:val="both"/>
        <w:rPr>
          <w:rFonts w:ascii="Bookman Old Style" w:cs="Bookman Old Style" w:eastAsia="Bookman Old Style" w:hAnsi="Bookman Old Style"/>
          <w:sz w:val="36"/>
          <w:szCs w:val="36"/>
        </w:rPr>
      </w:pPr>
      <w:r w:rsidDel="00000000" w:rsidR="00000000" w:rsidRPr="00000000">
        <w:rPr>
          <w:rFonts w:ascii="Bookman Old Style" w:cs="Bookman Old Style" w:eastAsia="Bookman Old Style" w:hAnsi="Bookman Old Style"/>
          <w:color w:val="231f20"/>
          <w:sz w:val="29"/>
          <w:szCs w:val="29"/>
          <w:rtl w:val="0"/>
        </w:rPr>
        <w:t xml:space="preserve">That the present complaint is being filed within a period of two years from the date of cause of action, as prescribed under section 69 of the Act, 2019</w:t>
      </w:r>
      <w:r w:rsidDel="00000000" w:rsidR="00000000" w:rsidRPr="00000000">
        <w:rPr>
          <w:rtl w:val="0"/>
        </w:rPr>
      </w:r>
    </w:p>
    <w:p w:rsidR="00000000" w:rsidDel="00000000" w:rsidP="00000000" w:rsidRDefault="00000000" w:rsidRPr="00000000" w14:paraId="00000028">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9">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w:t>
      </w:r>
      <w:r w:rsidDel="00000000" w:rsidR="00000000" w:rsidRPr="00000000">
        <w:rPr>
          <w:rFonts w:ascii="Bookman Old Style" w:cs="Bookman Old Style" w:eastAsia="Bookman Old Style" w:hAnsi="Bookman Old Style"/>
          <w:sz w:val="28"/>
          <w:szCs w:val="28"/>
          <w:rtl w:val="0"/>
        </w:rPr>
        <w:t xml:space="preserve">I</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w:t>
      </w:r>
      <w:r w:rsidDel="00000000" w:rsidR="00000000" w:rsidRPr="00000000">
        <w:rPr>
          <w:rFonts w:ascii="Bookman Old Style" w:cs="Bookman Old Style" w:eastAsia="Bookman Old Style" w:hAnsi="Bookman Old Style"/>
          <w:sz w:val="28"/>
          <w:szCs w:val="28"/>
          <w:rtl w:val="0"/>
        </w:rPr>
        <w:t xml:space="preserve">showroom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is situated within the jurisdiction of this Hon'ble Court. Hence this Hon'ble Court has got jurisdiction to try and entertain this complaint. The consideration amount is less tha</w:t>
      </w:r>
      <w:r w:rsidDel="00000000" w:rsidR="00000000" w:rsidRPr="00000000">
        <w:rPr>
          <w:rFonts w:ascii="Bookman Old Style" w:cs="Bookman Old Style" w:eastAsia="Bookman Old Style" w:hAnsi="Bookman Old Style"/>
          <w:sz w:val="28"/>
          <w:szCs w:val="28"/>
          <w:rtl w:val="0"/>
        </w:rPr>
        <w:t xml:space="preserve">n Rs. 50,00,000/-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spacing w:after="200" w:line="360" w:lineRule="auto"/>
        <w:jc w:val="both"/>
        <w:rPr>
          <w:rFonts w:ascii="Bookman Old Style" w:cs="Bookman Old Style" w:eastAsia="Bookman Old Style" w:hAnsi="Bookman Old Style"/>
          <w:b w:val="1"/>
          <w:color w:val="000000"/>
          <w:sz w:val="28"/>
          <w:szCs w:val="28"/>
          <w:u w:val="single"/>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 </w:t>
      </w:r>
    </w:p>
    <w:p w:rsidR="00000000" w:rsidDel="00000000" w:rsidP="00000000" w:rsidRDefault="00000000" w:rsidRPr="00000000" w14:paraId="0000002D">
      <w:pPr>
        <w:widowControl w:val="0"/>
        <w:numPr>
          <w:ilvl w:val="0"/>
          <w:numId w:val="1"/>
        </w:numPr>
        <w:spacing w:after="0" w:before="120" w:line="240" w:lineRule="auto"/>
        <w:ind w:left="720" w:hanging="360"/>
        <w:jc w:val="both"/>
        <w:rPr>
          <w:rFonts w:ascii="Bookman Old Style" w:cs="Bookman Old Style" w:eastAsia="Bookman Old Style" w:hAnsi="Bookman Old Style"/>
          <w:sz w:val="34"/>
          <w:szCs w:val="34"/>
        </w:rPr>
      </w:pPr>
      <w:r w:rsidDel="00000000" w:rsidR="00000000" w:rsidRPr="00000000">
        <w:rPr>
          <w:rFonts w:ascii="Bookman Old Style" w:cs="Bookman Old Style" w:eastAsia="Bookman Old Style" w:hAnsi="Bookman Old Style"/>
          <w:color w:val="231f20"/>
          <w:sz w:val="27"/>
          <w:szCs w:val="27"/>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E">
      <w:pPr>
        <w:widowControl w:val="0"/>
        <w:spacing w:after="0" w:before="120" w:line="240" w:lineRule="auto"/>
        <w:ind w:left="72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VII . Prayer</w:t>
      </w:r>
      <w:r w:rsidDel="00000000" w:rsidR="00000000" w:rsidRPr="00000000">
        <w:rPr>
          <w:rtl w:val="0"/>
        </w:rPr>
      </w:r>
    </w:p>
    <w:p w:rsidR="00000000" w:rsidDel="00000000" w:rsidP="00000000" w:rsidRDefault="00000000" w:rsidRPr="00000000" w14:paraId="00000030">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643"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jointly and severally pay a sum of Rs. 22,000/- towards refund of equipment cost along with interest at 18% p.a. from the date of purchase till realization.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643"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jointly and severally pay Rs. 50,000/- as compensation for financial loss, harassment, mental agony, and deficiency in service along with interest at 12% p.a. from the date of complaint till realization.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643"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Direct the Opposite Parties to jointly and severally pay Rs. 10,000/- as litigation costs to the Complainant.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643"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 as deemed fit in the interest of justice, equity, and good conscience.</w:t>
      </w:r>
    </w:p>
    <w:p w:rsidR="00000000" w:rsidDel="00000000" w:rsidP="00000000" w:rsidRDefault="00000000" w:rsidRPr="00000000" w14:paraId="00000038">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PROVORIM</w:t>
      </w:r>
    </w:p>
    <w:p w:rsidR="00000000" w:rsidDel="00000000" w:rsidP="00000000" w:rsidRDefault="00000000" w:rsidRPr="00000000" w14:paraId="0000003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ab/>
        <w:tab/>
        <w:t xml:space="preserve">Advocate for Complainant </w:t>
      </w:r>
    </w:p>
    <w:p w:rsidR="00000000" w:rsidDel="00000000" w:rsidP="00000000" w:rsidRDefault="00000000" w:rsidRPr="00000000" w14:paraId="0000003B">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C">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D">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Mary J.F Victoria Gomes</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3E">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F">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40">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1">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3">
      <w:pPr>
        <w:spacing w:line="360" w:lineRule="auto"/>
        <w:jc w:val="both"/>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BE165E"/>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BE165E"/>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BE165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aFHxwDYd8RXpZAVO19CNlNi6vA==">CgMxLjAyCGguZ2pkZ3hzMgloLjMwajB6bGwyCWguMWZvYjl0ZTgAciExWHdhX3lCTVZMbWVpTjZwTmJCczBMbmdXNkt6N2VDX3I=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2024-02-08T04:37:00Z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7faf8b684e21958559d204c9b36c996ff67f9c047ebdefe7147710626ff56ff2</vt:lpwstr>
  </property>
  <property fmtid="{D5CDD505-2E9C-101B-9397-08002B2CF9AE}" pid="3" name="GrammarlyDocumentId">
    <vt:lpwstr>7faf8b684e21958559d204c9b36c996ff67f9c047ebdefe7147710626ff56ff2</vt:lpwstr>
  </property>
</Properties>
</file>