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NORTH GOA, PORVORIM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Complaint No. ______of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Elinio Bosco de Noronha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De Noronha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40 years,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Residing at Sapna Centre, 4</w:t>
      </w:r>
      <w:r w:rsidDel="00000000" w:rsidR="00000000" w:rsidRPr="00000000">
        <w:rPr>
          <w:rFonts w:ascii="Bookman Old Style" w:cs="Bookman Old Style" w:eastAsia="Bookman Old Style" w:hAnsi="Bookman Old Style"/>
          <w:sz w:val="28"/>
          <w:szCs w:val="28"/>
          <w:vertAlign w:val="superscript"/>
          <w:rtl w:val="0"/>
        </w:rPr>
        <w:t xml:space="preserve">th</w:t>
      </w:r>
      <w:r w:rsidDel="00000000" w:rsidR="00000000" w:rsidRPr="00000000">
        <w:rPr>
          <w:rFonts w:ascii="Bookman Old Style" w:cs="Bookman Old Style" w:eastAsia="Bookman Old Style" w:hAnsi="Bookman Old Style"/>
          <w:sz w:val="28"/>
          <w:szCs w:val="28"/>
          <w:rtl w:val="0"/>
        </w:rPr>
        <w:t xml:space="preserve"> Floor, </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IT employee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Dada Vaidya road,</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Goa – 403001</w:t>
        <w:tab/>
        <w:tab/>
        <w:tab/>
        <w:tab/>
        <w:t xml:space="preserve"> ...Complainant</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IFB Industries Ltd (Opposite Party No.1)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its office at: Plot No. 16,</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Dempo Towers Patto Plaza, </w:t>
      </w:r>
    </w:p>
    <w:p w:rsidR="00000000" w:rsidDel="00000000" w:rsidP="00000000" w:rsidRDefault="00000000" w:rsidRPr="00000000" w14:paraId="0000000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Goa – 403001</w:t>
        <w:tab/>
        <w:tab/>
        <w:tab/>
        <w:tab/>
        <w:tab/>
        <w:t xml:space="preserve">...Opposite </w:t>
      </w:r>
      <w:r w:rsidDel="00000000" w:rsidR="00000000" w:rsidRPr="00000000">
        <w:rPr>
          <w:rFonts w:ascii="Bookman Old Style" w:cs="Bookman Old Style" w:eastAsia="Bookman Old Style" w:hAnsi="Bookman Old Style"/>
          <w:sz w:val="28"/>
          <w:szCs w:val="28"/>
          <w:rtl w:val="0"/>
        </w:rPr>
        <w:t xml:space="preserve">Parties</w:t>
      </w: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purchased a modular kitchen set from the Opposite Party No.4 dealership/showroom in Panaji in January 2019 for a total consideration of Rs. 1,68,715/- (Rupees One Lakh Sixty-Eight Thousand Seven Hundred Fifteen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Only</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through cheque no. 102039 drawn on HCFC bank. The said kitchen was installed in March 2019 and had a 5-year warranty from the date of installation. </w:t>
      </w:r>
    </w:p>
    <w:p w:rsidR="00000000" w:rsidDel="00000000" w:rsidP="00000000" w:rsidRDefault="00000000" w:rsidRPr="00000000" w14:paraId="00000017">
      <w:pPr>
        <w:numPr>
          <w:ilvl w:val="0"/>
          <w:numId w:val="4"/>
        </w:numPr>
        <w:spacing w:after="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representative of Opposite Party ensured the Comapliannt at the time of purchase that the material used for said modular kithcent was of pure stainless steel and it will never get rusted.</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in January 2022, much before the expiry of the warranty period, the Complainant noticed defects in the form of rusting of handles and chimney panels of the modular kitchen. He immediately brought this to the notice of Opposite Party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That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after discussing the said issue with one Ms. Deepti Gunaji who is the Architect/ Designer for Opposite Party </w:t>
      </w:r>
      <w:r w:rsidDel="00000000" w:rsidR="00000000" w:rsidRPr="00000000">
        <w:rPr>
          <w:rFonts w:ascii="Bookman Old Style" w:cs="Bookman Old Style" w:eastAsia="Bookman Old Style" w:hAnsi="Bookman Old Style"/>
          <w:sz w:val="28"/>
          <w:szCs w:val="28"/>
          <w:rtl w:val="0"/>
        </w:rPr>
        <w:t xml:space="preserve">, she ensured that a</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technician would be made </w:t>
      </w:r>
      <w:r w:rsidDel="00000000" w:rsidR="00000000" w:rsidRPr="00000000">
        <w:rPr>
          <w:rFonts w:ascii="Bookman Old Style" w:cs="Bookman Old Style" w:eastAsia="Bookman Old Style" w:hAnsi="Bookman Old Style"/>
          <w:sz w:val="28"/>
          <w:szCs w:val="28"/>
          <w:rtl w:val="0"/>
        </w:rPr>
        <w:t xml:space="preserve">available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to inspect the complainant's kitchen</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upon inspection of the handle and chimney panel by the said technician, he tried to use th</w:t>
      </w:r>
      <w:r w:rsidDel="00000000" w:rsidR="00000000" w:rsidRPr="00000000">
        <w:rPr>
          <w:rFonts w:ascii="Bookman Old Style" w:cs="Bookman Old Style" w:eastAsia="Bookman Old Style" w:hAnsi="Bookman Old Style"/>
          <w:sz w:val="28"/>
          <w:szCs w:val="28"/>
          <w:rtl w:val="0"/>
        </w:rPr>
        <w:t xml:space="preserve">e dishwashing bar and scrubber to take off the rust of the chimney panel and returned with polish but he was unable to remove the rust of chimney panel. Subsequently the technician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confirmed that the said handles and chimney panel were of very poor quality and </w:t>
      </w:r>
      <w:r w:rsidDel="00000000" w:rsidR="00000000" w:rsidRPr="00000000">
        <w:rPr>
          <w:rFonts w:ascii="Bookman Old Style" w:cs="Bookman Old Style" w:eastAsia="Bookman Old Style" w:hAnsi="Bookman Old Style"/>
          <w:sz w:val="28"/>
          <w:szCs w:val="28"/>
          <w:rtl w:val="0"/>
        </w:rPr>
        <w:t xml:space="preserve">informed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complainant </w:t>
      </w:r>
      <w:r w:rsidDel="00000000" w:rsidR="00000000" w:rsidRPr="00000000">
        <w:rPr>
          <w:rFonts w:ascii="Bookman Old Style" w:cs="Bookman Old Style" w:eastAsia="Bookman Old Style" w:hAnsi="Bookman Old Style"/>
          <w:sz w:val="28"/>
          <w:szCs w:val="28"/>
          <w:rtl w:val="0"/>
        </w:rPr>
        <w:t xml:space="preserve">that the issue was beyond the repair and left the complainants place of </w:t>
      </w:r>
      <w:r w:rsidDel="00000000" w:rsidR="00000000" w:rsidRPr="00000000">
        <w:rPr>
          <w:rFonts w:ascii="Bookman Old Style" w:cs="Bookman Old Style" w:eastAsia="Bookman Old Style" w:hAnsi="Bookman Old Style"/>
          <w:sz w:val="28"/>
          <w:szCs w:val="28"/>
          <w:rtl w:val="0"/>
        </w:rPr>
        <w:t xml:space="preserve">residence</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The Complainant made repeated phone calls and emails to the Opposite party requeising the replace the kitchen sets, and the Opposite party assrured that they would take appropriate action.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he made various emails to Ms. Deepti Gunaji but till now the issue has not been resolved nor the replacement of chimney panels are done. The complainant states that this act of the Opposite parties is totally bad and there is deficiency in service on their part. And further states that all the opposite parties are directly/ jointly and severely liable to replace the handles and chimney panel.</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follow-ups by the Complainant, the Opposite Parties failed to resolve the issue with the defective chimney panel thereby causing great mental harassment and agony to the Complainant.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the express order of this Commission, the Opposite Parties have failed and neglected to replace the defective chimney panel thereby causing further harassment, mental agony, and loss to the Complainant.</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aforesaid acts and omissions of the Opposite Parties amount to gross deficiency in service, unfair trade practice, and wilful disobedience of the orders of this Commission.</w:t>
      </w:r>
    </w:p>
    <w:p w:rsidR="00000000" w:rsidDel="00000000" w:rsidP="00000000" w:rsidRDefault="00000000" w:rsidRPr="00000000" w14:paraId="00000020">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List of Evidence</w:t>
      </w:r>
    </w:p>
    <w:p w:rsidR="00000000" w:rsidDel="00000000" w:rsidP="00000000" w:rsidRDefault="00000000" w:rsidRPr="00000000" w14:paraId="00000022">
      <w:pPr>
        <w:numPr>
          <w:ilvl w:val="0"/>
          <w:numId w:val="3"/>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Aadhar Card of the Complaint </w:t>
      </w:r>
    </w:p>
    <w:p w:rsidR="00000000" w:rsidDel="00000000" w:rsidP="00000000" w:rsidRDefault="00000000" w:rsidRPr="00000000" w14:paraId="00000023">
      <w:pPr>
        <w:numPr>
          <w:ilvl w:val="0"/>
          <w:numId w:val="3"/>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Invoice raised by the Oppsoite Party of Rs. 1,68,715 (Rupees One Lakh Sixty-Eight Thousand Seven Hundred Fifteen </w:t>
      </w:r>
      <w:r w:rsidDel="00000000" w:rsidR="00000000" w:rsidRPr="00000000">
        <w:rPr>
          <w:rFonts w:ascii="Bookman Old Style" w:cs="Bookman Old Style" w:eastAsia="Bookman Old Style" w:hAnsi="Bookman Old Style"/>
          <w:sz w:val="28"/>
          <w:szCs w:val="28"/>
          <w:rtl w:val="0"/>
        </w:rPr>
        <w:t xml:space="preserve">Only</w:t>
      </w:r>
      <w:r w:rsidDel="00000000" w:rsidR="00000000" w:rsidRPr="00000000">
        <w:rPr>
          <w:rFonts w:ascii="Bookman Old Style" w:cs="Bookman Old Style" w:eastAsia="Bookman Old Style" w:hAnsi="Bookman Old Style"/>
          <w:sz w:val="28"/>
          <w:szCs w:val="28"/>
          <w:rtl w:val="0"/>
        </w:rPr>
        <w:t xml:space="preserve">) towards the Modular kitchen set </w:t>
      </w:r>
    </w:p>
    <w:p w:rsidR="00000000" w:rsidDel="00000000" w:rsidP="00000000" w:rsidRDefault="00000000" w:rsidRPr="00000000" w14:paraId="00000024">
      <w:pPr>
        <w:numPr>
          <w:ilvl w:val="0"/>
          <w:numId w:val="3"/>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Copy of Cheque no. 102039 drawn on HCFC bank of Rs. 1,68,715/- (Rupees One Lakh Sixty-Eight Thousand Seven Hundred Fifteen </w:t>
      </w:r>
      <w:r w:rsidDel="00000000" w:rsidR="00000000" w:rsidRPr="00000000">
        <w:rPr>
          <w:rFonts w:ascii="Bookman Old Style" w:cs="Bookman Old Style" w:eastAsia="Bookman Old Style" w:hAnsi="Bookman Old Style"/>
          <w:sz w:val="28"/>
          <w:szCs w:val="28"/>
          <w:rtl w:val="0"/>
        </w:rPr>
        <w:t xml:space="preserve">Only</w:t>
      </w:r>
      <w:r w:rsidDel="00000000" w:rsidR="00000000" w:rsidRPr="00000000">
        <w:rPr>
          <w:rFonts w:ascii="Bookman Old Style" w:cs="Bookman Old Style" w:eastAsia="Bookman Old Style" w:hAnsi="Bookman Old Style"/>
          <w:sz w:val="28"/>
          <w:szCs w:val="28"/>
          <w:rtl w:val="0"/>
        </w:rPr>
        <w:t xml:space="preserve">) paid by the Complainant to the Oppsoite party </w:t>
      </w:r>
    </w:p>
    <w:p w:rsidR="00000000" w:rsidDel="00000000" w:rsidP="00000000" w:rsidRDefault="00000000" w:rsidRPr="00000000" w14:paraId="00000025">
      <w:pPr>
        <w:numPr>
          <w:ilvl w:val="0"/>
          <w:numId w:val="3"/>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Mails and communication done to the Oppoiste party requesting to replace the defective modular kitchen sets.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Cause of Action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in January 2022 when the modular kitchen stopped working and the same was informed to the opposite party. The cause of action arose within the limitation period as prescribed under the Law.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Hence this Hon'ble Court has got jurisdiction to try and entertain this </w:t>
      </w:r>
      <w:sdt>
        <w:sdtPr>
          <w:tag w:val="goog_rdk_0"/>
        </w:sdtPr>
        <w:sdtContent>
          <w:commentRangeStart w:id="0"/>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complaint</w:t>
      </w:r>
      <w:commentRangeEnd w:id="0"/>
      <w:r w:rsidDel="00000000" w:rsidR="00000000" w:rsidRPr="00000000">
        <w:commentReference w:id="0"/>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Court fee as contemplated is paid on this Complaint.</w:t>
      </w:r>
    </w:p>
    <w:p w:rsidR="00000000" w:rsidDel="00000000" w:rsidP="00000000" w:rsidRDefault="00000000" w:rsidRPr="00000000" w14:paraId="0000002E">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2F">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immediately replace the defective chimney panel of the Complainant's modular kitchen;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50,000/- for the mental harassment and agony suffered by the Complainant;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Award litigation costs of Rs. 50,000/-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that the Hon'ble Forum may deem fit in the interest of justice.</w:t>
      </w:r>
    </w:p>
    <w:p w:rsidR="00000000" w:rsidDel="00000000" w:rsidP="00000000" w:rsidRDefault="00000000" w:rsidRPr="00000000" w14:paraId="00000034">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Permission to amend the complaint as and when required may kindly be granted.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PORVORIM </w:t>
        <w:tab/>
        <w:tab/>
        <w:tab/>
        <w:tab/>
        <w:tab/>
        <w:t xml:space="preserve">COMPLAINANT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 /03/20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243f61"/>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Verification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I, Elinio Bosco de Noronha,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PORVORIM</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ab/>
        <w:tab/>
        <w:tab/>
        <w:tab/>
        <w:tab/>
        <w:tab/>
        <w:tab/>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 /03/20</w:t>
        <w:tab/>
        <w:tab/>
        <w:tab/>
        <w:tab/>
        <w:tab/>
        <w:tab/>
        <w:tab/>
        <w:t xml:space="preserve">Complainant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hushan Chatap" w:id="0" w:date="2024-02-16T06:02:3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evidence.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864B6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864B6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86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864B65"/>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864B65"/>
  </w:style>
  <w:style w:type="character" w:styleId="HTMLCode">
    <w:name w:val="HTML Code"/>
    <w:basedOn w:val="DefaultParagraphFont"/>
    <w:uiPriority w:val="99"/>
    <w:semiHidden w:val="1"/>
    <w:unhideWhenUsed w:val="1"/>
    <w:rsid w:val="00864B65"/>
    <w:rPr>
      <w:rFonts w:ascii="Courier New" w:cs="Courier New" w:eastAsia="Times New Roman" w:hAnsi="Courier New"/>
      <w:sz w:val="20"/>
      <w:szCs w:val="20"/>
    </w:rPr>
  </w:style>
  <w:style w:type="paragraph" w:styleId="ListParagraph">
    <w:name w:val="List Paragraph"/>
    <w:basedOn w:val="Normal"/>
    <w:uiPriority w:val="34"/>
    <w:qFormat w:val="1"/>
    <w:rsid w:val="00864B6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CAfENMJ10kgS8Pmae+mW6OjZw==">CgMxLjAaJwoBMBIiCiAIBCocCgtBQUFCR3FNb1NpSRAIGgtBQUFCR3FNb1NpSSKNAgoLQUFBQkdxTW9TaUkS2wEKC0FBQUJHcU1vU2lJEgtBQUFCR3FNb1NpSRofCgl0ZXh0L2h0bWwSEnRoZSBsaXN0IGV2aWRlbmNlLiIgCgp0ZXh0L3BsYWluEhJ0aGUgbGlzdCBldmlkZW5jZS4qGyIVMTAzODU4NzEzMzU1NTQ2NDk4MDAzKAA4ADDP5ImE2zE4z+SJhNsxShcKCnRleHQvcGxhaW4SCWNvbXBsYWludFoMZWgzeWp3Mmd4djh2cgIgAHgAmgEGCAAQABgAqgEUEhJ0aGUgbGlzdCBldmlkZW5jZS6wAQC4AQAYz+SJhNsxIM/kiYTbMTAAQhBraXguYzA4eXV4N3kxNjdhOAByITFCRkZwdTJjcXZYUVNjZzVTVkFSYkFhU0VjZGxNU05N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2024-02-12T04:47:00Z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8de7bc20396b8d96f6a952197ed822a149e89cf5d26eff1b6d87d475556f1652</vt:lpwstr>
  </property>
  <property fmtid="{D5CDD505-2E9C-101B-9397-08002B2CF9AE}" pid="3" name="GrammarlyDocumentId">
    <vt:lpwstr>8de7bc20396b8d96f6a952197ed822a149e89cf5d26eff1b6d87d475556f1652</vt:lpwstr>
  </property>
</Properties>
</file>