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DISTRICT CONSUMER DISPUTES REDRESSAL COMMISSION, SONEPAT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Complaint No. 345 of 2021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MEMORANDUM OF PARTIES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Anand, son of Ramdhari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Resident of village Pukhas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Tehsil Gannaur, Distt. Sonepat……………………………………Complainant.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Versus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The Oriental Insurance Company Ltd.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Branch Office Gohana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District Sonepat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Through its Branch Manager………………………………………Opposite Party.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