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THE HON’BLE DISTRICT CONSUMER DISPUTES REDRESSAL COMMISSION AT ERNAKULAM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COMPLAINT No..................of 20.....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MATTER OF:</w:t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Sunil Chammany, S/o. C.X. Thomas</w:t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="276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Chammany House, Near Pancharatna Apartments, Ponoth Road, Eranakulam, Kochi –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360" w:lineRule="auto"/>
        <w:ind w:left="576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................ COMPLAINANT</w:t>
      </w:r>
    </w:p>
    <w:p w:rsidR="00000000" w:rsidDel="00000000" w:rsidP="00000000" w:rsidRDefault="00000000" w:rsidRPr="00000000" w14:paraId="0000000A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  <w:t xml:space="preserve">Vs</w:t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Asianet Satellite Communications Ltd.</w:t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="276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Ernakulam North (GA06), Door No. 48/348, Atagore Lane, Backside of Federal B, Ernakulam, Kochi –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360" w:lineRule="auto"/>
        <w:ind w:left="6480" w:firstLine="0"/>
        <w:jc w:val="both"/>
        <w:rPr/>
      </w:pPr>
      <w:r w:rsidDel="00000000" w:rsidR="00000000" w:rsidRPr="00000000">
        <w:rPr>
          <w:b w:val="1"/>
          <w:rtl w:val="0"/>
        </w:rPr>
        <w:t xml:space="preserve">...........OPPOSITE PARTY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