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Major Ranjit H.S.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S/o P.T. Harinarayanan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Nandanam, House No. 46/2155 H(4)  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Vaduthala P.O., Ernakulam - 682023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Email: .....................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Mobile: 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ECHS (Ex-Serviceman Contributory Health Scheme)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Adjutant General's Branch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IHQ of MoD (Army)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Thimayya Marg, Near Gopinath Circle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Delhi Cantt - 110010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PARTY(S)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