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Mohd. Irfan,</w:t>
        <w:br w:type="textWrapping"/>
        <w:t xml:space="preserve">S/o Shri Sirajudddin</w:t>
        <w:br w:type="textWrapping"/>
        <w:t xml:space="preserve">H. No. 1376, Bazar Chitli Qabar, Gali Kallu Khawas,</w:t>
        <w:br w:type="textWrapping"/>
        <w:t xml:space="preserve">Jama Masjid, Delhi-110006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Royal Sundram General Insurance Co. Ltd.</w:t>
        <w:br w:type="textWrapping"/>
        <w:t xml:space="preserve">Through its Managing Director, A-14 Plot no.136,</w:t>
        <w:br w:type="textWrapping"/>
        <w:t xml:space="preserve">Gurgaon, Haryana.</w:t>
        <w:br w:type="textWrapping"/>
        <w:t xml:space="preserve">Also at: Royal Sundram General Insurance Co. Ltd.</w:t>
        <w:br w:type="textWrapping"/>
        <w:t xml:space="preserve">Through its Managing Director, Vishranth Melaram Towers</w:t>
        <w:br w:type="textWrapping"/>
        <w:t xml:space="preserve">No.2/319, Rajiv Gandhi Salai (OMR) Karapakkam,</w:t>
        <w:br w:type="textWrapping"/>
        <w:t xml:space="preserve">Chennai-600097</w:t>
        <w:br w:type="textWrapping"/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0A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