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Mrs. Shobha R. Gharge,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Aged 48 years, Female,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Residing at B/106, Riddhi Siddhi CHS, Highway Louis Wadi, Thane – 400 604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Email: shobhagharge@email.com, Mobile No. 9876543210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................COMPLAINANT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National Insurance Co. Ltd.,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Mumbai Division XVIII,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1st Floor, Jai Motor Compound,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Opp. Cadbury Highway, First Pokhran Road,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Thane 400 601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.............OPPOSITE PARTY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