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NEW DELHI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Tilak Ram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S/o Shri Ram Niwas 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Occupation: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Aged about 55 years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R/o 378, Karkardooma Village,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Delhi - 110092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                                ...COMPLAINANT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Ansal Landmark Township Pvt. Ltd.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 company registered under Companies Act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Having its registered office at: 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210, Ansal Plaza,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16, Kasturba Gandhi Marg,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New Delhi - 110001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Also at: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11th Floor, Narain Manzil,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23, Barakhamba Road,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New Delhi - 110001  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                               ...OPPOSITE PARTY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