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spacing w:before="158" w:line="278.00000000000006" w:lineRule="auto"/>
        <w:ind w:right="103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07 of 2022</w:t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32/208,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street, </w:t>
      </w:r>
      <w:r w:rsidDel="00000000" w:rsidR="00000000" w:rsidRPr="00000000">
        <w:rPr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imala Nagar, Cosmos-2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color w:val="231f20"/>
          <w:rtl w:val="0"/>
        </w:rPr>
        <w:t xml:space="preserve">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 Agro Private Limited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28/459,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street, Simala Nagar, Cosmos- 37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ABCAgro@gmail.com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/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kwOOXyBHMrCrCoSoCS9c4CAMZw==">CgMxLjA4AHIhMUktLXlaeGNQeTFLczBDZFJJZk5YcHJIUHJ6U1EzRGJM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