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K.Karthikeyan,</w:t>
      </w:r>
    </w:p>
    <w:p w:rsidR="00000000" w:rsidDel="00000000" w:rsidP="00000000" w:rsidRDefault="00000000" w:rsidRPr="00000000" w14:paraId="00000007">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Kothandaraman,</w:t>
      </w:r>
    </w:p>
    <w:p w:rsidR="00000000" w:rsidDel="00000000" w:rsidP="00000000" w:rsidRDefault="00000000" w:rsidRPr="00000000" w14:paraId="0000000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35 years</w:t>
      </w:r>
    </w:p>
    <w:p w:rsidR="00000000" w:rsidDel="00000000" w:rsidP="00000000" w:rsidRDefault="00000000" w:rsidRPr="00000000" w14:paraId="00000009">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government teacher</w:t>
      </w:r>
    </w:p>
    <w:p w:rsidR="00000000" w:rsidDel="00000000" w:rsidP="00000000" w:rsidRDefault="00000000" w:rsidRPr="00000000" w14:paraId="0000000A">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No.217, West Masi Street,</w:t>
      </w:r>
    </w:p>
    <w:p w:rsidR="00000000" w:rsidDel="00000000" w:rsidP="00000000" w:rsidRDefault="00000000" w:rsidRPr="00000000" w14:paraId="0000000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w:t>
      </w:r>
    </w:p>
    <w:p w:rsidR="00000000" w:rsidDel="00000000" w:rsidP="00000000" w:rsidRDefault="00000000" w:rsidRPr="00000000" w14:paraId="0000000C">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Proprietor,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Perambur Sri Srinivasa Sweets &amp; Snacks,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No.20-5-1, Tirumala Bypass Road Near,</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Leelamahal Circle,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Tirupathi – 517501.</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Serving of unhygienic food containing piece of iron wire, on 07.09.200 bearing order no 22942 at your restaurant.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the serious incident that took place at your restaurant, The Perambur Sri Srinivasa Sweets &amp; Snacks, on 07.09.2020.</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visited your restaurant on 07.09.2020 with my friends and ordered 5 meals bearing order number 22942, at table no. 17-GP. Regrettably, during the consumption of the meal, a piece of iron wire was discovered in the vathalkulambu served.</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making this unsettling discovery, I promptly informed your supplier, supervisor, and manager, Mr. Sarangabani. Shockingly, instead of addressing the situation appropriately, your staff suggested that I discard the iron wire and continue with my meal. No alternative meals or remedial measures were offered, despite the obvious deficiency in service.</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incident raises serious concerns about the safety and hygiene standards maintained at your establishment. The lack of immediate corrective action on your part not only constitutes a clear violation of consumer rights but also poses a potential threat to the well-being of your patrons.</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has inflicted significant mental agony, pain, and suffering upon me, as evidenced by the attached video recording of the entire episode. This correspondence serves as a final attempt to amicably resolve the matter before escalating it to legal proceedings.</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unacceptable conduct of the staff and manager at the restaurant and serving of unhygienic food:</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1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of 50,000, this amount includes the emotional distress caused by the inadequate steps taken by you when the issue was brought to your notice and risking my life by serving unhygienic food.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K.Karthikeyan,</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