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Jagrut Nagrik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Through their Managing Director P. V. Moorjani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Opp. LBS Vidhyalay, Nr. Prerna School,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Sangam, Karelibaug Road, Vadodara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Bhavesh C. Panchal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Res. D-194, Surbhi Park,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Inside Shree Hari Town Ship, Sayaji Park,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Ajwa Road, Vadodara - 390 019.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Manager, State Bank of India.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Shop No : 12 to 18, GF" Kanha. Near LPG Pump,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Kamla Nagar, Ajwa Road,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Vadodara, Gujarat - 390 019.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Subject: Deficiency in banking services and failure to resolve unauthorized ATM transactions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I, Bhavesh C. Panchal, residing at D-194, Surbhi Park, Inside Shree Hari Township, Sayaji Park, Ajwa Road, Vadodara - 390019, am a customer maintaining Savings Bank Account No. XXXXXXX2704 with your Kamlanagar, Vadodara branch. On 05/09/2019, I received an SMS alert showing the available balance in my account as only Rs. 61.07 instead of Rs. 41,249.77. Upon visiting your branch, I was shocked to find that three unauthorized ATM withdrawals totaling Rs. 41,000/- had been made from my account on 26/01/2019 and 27/01/2019 at ATMs located in Jharkhand.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had not carried out any such transactions, nor had I received any prior SMS alerts regarding the same. This clearly amounts to a deficiency in service and an unfair trade practice on your part in failing to safeguard my account and provide timely alerts about unauthorized transactions. I immediately lodged a written complaint with your branch on 12/09/2019 requesting reversal of the fraudulent transactions. However, you failed to take any action or provide a satisfactory resolution. I also served a legal notice dated 14/11/2019 calling upon you to reimburse the amount, but you have failed to respond or comply with the same.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view of the above, you are hereby called upon to: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reverse/credit back the amount of Rs. 41,000/- withdrawn fraudulently from my account along with interest at 9% per annum from 18/01/2020 till realization, within 15 days from receipt of this notice.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Additionally, pay compensation of Rs. 5,000/- towards mental harassment, agony and costs incurred in pursuing this matter.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fail to comply with the above demands within the stipulated period, I shall be constrained to initiate appropriate legal proceedings against you under the provisions of the Consumer Protection Act, 2019 at your risk as to costs and consequences.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Vadodara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Dated: _________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Bhavesh C. Panchal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