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V. Srihari Gopal </w:t>
      </w:r>
    </w:p>
    <w:p w:rsidR="00000000" w:rsidDel="00000000" w:rsidP="00000000" w:rsidRDefault="00000000" w:rsidRPr="00000000" w14:paraId="00000003">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Krishna Murthy, aged 51 years,</w:t>
      </w:r>
    </w:p>
    <w:p w:rsidR="00000000" w:rsidDel="00000000" w:rsidP="00000000" w:rsidRDefault="00000000" w:rsidRPr="00000000" w14:paraId="00000004">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NE5, Roop Vihar Apartment, Raja Street,</w:t>
      </w:r>
    </w:p>
    <w:p w:rsidR="00000000" w:rsidDel="00000000" w:rsidP="00000000" w:rsidRDefault="00000000" w:rsidRPr="00000000" w14:paraId="00000005">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Syamala Nagar, Rajahmundry,</w:t>
      </w:r>
    </w:p>
    <w:p w:rsidR="00000000" w:rsidDel="00000000" w:rsidP="00000000" w:rsidRDefault="00000000" w:rsidRPr="00000000" w14:paraId="00000006">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Godavari District</w:t>
      </w:r>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to purchase a two bedroom flat with a plinth area of 910 sq.ft in Flat No.401, 4th floor and car parking measuring 90 sq.ft in stilt floor and an undivided and unspecified share of vacant site measuring 33 sq.yards out of 355.56 sq.yds.  in “ Prince of Peace Paradise” from you. The Sale Deed was registered agreeing for the construction of the residential flat as mentioned above with you with some specifications. The same was registered as Document No.2076/2013 before SRO, Madhurawada, Visakhapatnam. I paid consideration of Rs. 30,00,000/- covered under the transaction by availing loan from State bank of India RACPC Branch, Visakhapatnam. You should have delivered the flat within six months from the date of agreement i.e, 30/03/2013 with a grace period of three months. But you have not finished the work in terms of the agreement and causing delay without any reason on some pretext or the other. On 01/10/2016 you addressed a letter to me to pay balance consideration of Rs. 3,89,000/- in addition to Rs. 78,750/- towards service tax and Rs.30,000/- towards charges for APEPDCL. I replied to the letter denying to pay the extra charges mentioned by the opposite parties and asked you to primarily finish the construction and handover possession post that the remaining charges will be paid. You have  issued a legal notice to me on 24/10/2016 with all false allegations.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D">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the construction and deliver the Flat.</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pay Rs.1,00,000 towards compensation for deficiency of service.</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V. Srihari Gopal [Your Signature]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