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BEFORE FILING THE COMPLAINT</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and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Managing Director, Care Health Insurance Limited, 5th Floor, 19 Chawla House, Nehru Palace, New Delhi-110019</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in service and unfair trade practice regarding health insurance claim</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Sir/Madam,</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am the holder of Group Care (PNB) health insurance policy bearing no. 11561922/COI issued by your company valid from 29.09.2020 to 28.09.2021, for which the premium was duly paid.</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service is suffering from the following defects: (i) Arbitrary denial of cashless facility for COVID-19 hospitalization (ii) Repudiation of genuine claim on false and baseless grounds (iii) Failure to reimburse COVID-19 treatment expenses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several times (including submission of all documents and bills in Claim No. 91676498) but despite all my pleadings you have not made good the defect in the services which is indeed regrettable. On account of your aforesaid dereliction of duty and failure and neglect to rectify the same I have suffered losses/incurred expenses, including harassment and mental agony.</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(i) Pay the full claim amount of Rs. 89,124/- for COVID-19 treatment (ii) Pay interest on the above amount (iii) Pay compensation for harassment and mental agony</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Mansa </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[Current Date]</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Kanwal Nater Nagrath Balaji Nursing Home, Ward No. 13, Water Works Road, Mansa</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450C8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450C8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450C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SfuTvTnXx/HQHONUDIe9nNyHg==">CgMxLjA4AHIhMVhvSU92dkVRdlhkYTJ2ZUNCMC1iTXJDSjk1ZWJmWGZ2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2024-02-08T05:21:00Z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9e4f8b877fca6350b058c93e6e58a9ed92b9ef95854239bb2bc9e771cc3e9190</vt:lpwstr>
  </property>
</Properties>
</file>