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Heading2"/>
        <w:spacing w:line="360" w:lineRule="auto"/>
        <w:jc w:val="both"/>
        <w:rPr/>
      </w:pPr>
      <w:bookmarkStart w:colFirst="0" w:colLast="0" w:name="_heading=h.bu0zwp3josg" w:id="0"/>
      <w:bookmarkEnd w:id="0"/>
      <w:r w:rsidDel="00000000" w:rsidR="00000000" w:rsidRPr="00000000">
        <w:rPr>
          <w:rtl w:val="0"/>
        </w:rPr>
        <w:t xml:space="preserve">PETROLEUM SECTOR</w:t>
      </w:r>
    </w:p>
    <w:p w:rsidR="00000000" w:rsidDel="00000000" w:rsidP="00000000" w:rsidRDefault="00000000" w:rsidRPr="00000000" w14:paraId="00000003">
      <w:pPr>
        <w:pStyle w:val="Heading1"/>
        <w:spacing w:line="360" w:lineRule="auto"/>
        <w:jc w:val="both"/>
        <w:rPr/>
      </w:pPr>
      <w:bookmarkStart w:colFirst="0" w:colLast="0" w:name="_heading=h.9m4xqaej324v" w:id="1"/>
      <w:bookmarkEnd w:id="1"/>
      <w:r w:rsidDel="00000000" w:rsidR="00000000" w:rsidRPr="00000000">
        <w:rPr>
          <w:rtl w:val="0"/>
        </w:rPr>
        <w:t xml:space="preserve">What is the petroleum sector?</w:t>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is the third largest consumer of petroleum products, after the US and China. The oil and natural gas sector has huge potential and contributes over 15% to India's GDP. Both public sector and private sector supply domestic LPG. The Public sector companies which supply domestic LPG are Indian Oil Corporation Ltd with their subsidiary company IBP (Indo Burma Petroleum), Hindustan Petroleum Corporation Ltd, and Bharat Petroleum Ltd. </w:t>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consumers should  be aware of the following grievance redressal systems in case of complaints against these corporations providing LPG and PNG.</w:t>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spacing w:line="360" w:lineRule="auto"/>
        <w:jc w:val="both"/>
        <w:rPr/>
      </w:pPr>
      <w:bookmarkStart w:colFirst="0" w:colLast="0" w:name="_heading=h.lqh6y2boer6o" w:id="2"/>
      <w:bookmarkEnd w:id="2"/>
      <w:r w:rsidDel="00000000" w:rsidR="00000000" w:rsidRPr="00000000">
        <w:rPr>
          <w:rtl w:val="0"/>
        </w:rPr>
        <w:t xml:space="preserve">What are the grounds available for complaints?</w:t>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complaints from the users of LPG are as follows:</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the time of new connection, dealers are insisting that the customer must take various</w:t>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appliances (like gas stove at Dealers’ choice, Rubber hose and other allied equipment).</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 in supplying gas cylinders is a major problem for all gas suppliers. Dealers are</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entertaining the phone calls and not registering the customer booking.</w:t>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Gas cylinder is less in weight or not fully filled.</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Tedious formalities in booking a new gas connection.</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complaints against PNG are as follows:</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Abnormal delay in getting new connection</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Billing problem</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appropriate complaint registering centre (CRC).</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 in attending complaints etc.</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spacing w:line="360" w:lineRule="auto"/>
        <w:rPr/>
      </w:pPr>
      <w:bookmarkStart w:colFirst="0" w:colLast="0" w:name="_heading=h.5isyt0qtjpqm" w:id="3"/>
      <w:bookmarkEnd w:id="3"/>
      <w:r w:rsidDel="00000000" w:rsidR="00000000" w:rsidRPr="00000000">
        <w:rPr>
          <w:rtl w:val="0"/>
        </w:rPr>
        <w:t xml:space="preserve">What are the grounds for complaints to not be accepted?</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situations which might cause the complaint to be rejected. These include situations where the consumer is unable to</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 file an appeal against an order within a period of three month</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s, where the complaint is based on a frivolous cause of action, where the complaint falls outside the jurisdiction of the authority approached, and when the complaint has been filed under wrong sections of the act, and other such situations. This requires careful reading of all acts and regulations.</w:t>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spacing w:line="360" w:lineRule="auto"/>
        <w:jc w:val="both"/>
        <w:rPr/>
      </w:pPr>
      <w:bookmarkStart w:colFirst="0" w:colLast="0" w:name="_heading=h.yjt9s4wmdzmp" w:id="4"/>
      <w:bookmarkEnd w:id="4"/>
      <w:r w:rsidDel="00000000" w:rsidR="00000000" w:rsidRPr="00000000">
        <w:rPr>
          <w:rtl w:val="0"/>
        </w:rPr>
        <w:t xml:space="preserve">What are the modes or methods of complaint available?</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may first reach the service provider. Customer care number of some companies</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Oil- 1800-2333-555</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Petroleum- 1800-22-4344</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Gas- 7715012345</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Emergency helpline no.- 1906</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multilingual LPG Emergency Helpline was dedicated to the nation on 1.1.2016 by the Hon'ble Minister of PNG. This facility is available 24*7 operations with 2 shifts 12 hours each for attending emergency LPG leakage complaints.</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MoPNG e-Seva</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out to the portal @MoPNGeSeva on Facebook or @MoPNG_eSeva on Twitter and response will be sent back at the earliest.</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Approaching any other appropriate judicial or quasi-judicial body:</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District Commission: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State Commission: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National Commission: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u w:val="single"/>
          <w:rtl w:val="0"/>
        </w:rPr>
        <w:t xml:space="preserve">Central Consumer Protection Authority</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9">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spacing w:line="360" w:lineRule="auto"/>
        <w:jc w:val="both"/>
        <w:rPr/>
      </w:pPr>
      <w:bookmarkStart w:colFirst="0" w:colLast="0" w:name="_heading=h.zg9b6qga04ps" w:id="5"/>
      <w:bookmarkEnd w:id="5"/>
      <w:r w:rsidDel="00000000" w:rsidR="00000000" w:rsidRPr="00000000">
        <w:rPr>
          <w:rtl w:val="0"/>
        </w:rPr>
        <w:t xml:space="preserve">What are the</w:t>
      </w:r>
      <w:sdt>
        <w:sdtPr>
          <w:tag w:val="goog_rdk_1"/>
        </w:sdtPr>
        <w:sdtContent>
          <w:commentRangeStart w:id="1"/>
        </w:sdtContent>
      </w:sdt>
      <w:r w:rsidDel="00000000" w:rsidR="00000000" w:rsidRPr="00000000">
        <w:rPr>
          <w:rtl w:val="0"/>
        </w:rPr>
        <w:t xml:space="preserve"> regulatory bodies</w:t>
      </w:r>
      <w:commentRangeEnd w:id="1"/>
      <w:r w:rsidDel="00000000" w:rsidR="00000000" w:rsidRPr="00000000">
        <w:commentReference w:id="1"/>
      </w:r>
      <w:r w:rsidDel="00000000" w:rsidR="00000000" w:rsidRPr="00000000">
        <w:rPr>
          <w:rtl w:val="0"/>
        </w:rPr>
        <w:t xml:space="preserve"> in this sector?</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 of Petroleum &amp; Natural Gas</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Petroleum and Natural gas Regulatory Board</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spacing w:line="360" w:lineRule="auto"/>
        <w:jc w:val="both"/>
        <w:rPr/>
      </w:pPr>
      <w:bookmarkStart w:colFirst="0" w:colLast="0" w:name="_heading=h.3169fokwn58p" w:id="6"/>
      <w:bookmarkEnd w:id="6"/>
      <w:r w:rsidDel="00000000" w:rsidR="00000000" w:rsidRPr="00000000">
        <w:rPr>
          <w:rtl w:val="0"/>
        </w:rPr>
        <w:t xml:space="preserve">What are the rules, Acts, and Guidelines that govern this sector?</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Petroleum and Natural Gas Regulatory Board Act, 2006</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http://www.pngrb.gov.in/pdf/Act/pngrbact.doc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Liquefied Petroleum Gas (Regulation of Supply and Distribution) Order 2000</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http://jklm.nic.in/pdf/LPG_regulation_of_distribution.pdf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Petroleum Act, 1934- </w:t>
      </w:r>
      <w:hyperlink r:id="rId12">
        <w:r w:rsidDel="00000000" w:rsidR="00000000" w:rsidRPr="00000000">
          <w:rPr>
            <w:rFonts w:ascii="Times New Roman" w:cs="Times New Roman" w:eastAsia="Times New Roman" w:hAnsi="Times New Roman"/>
            <w:color w:val="1155cc"/>
            <w:sz w:val="24"/>
            <w:szCs w:val="24"/>
            <w:u w:val="single"/>
            <w:rtl w:val="0"/>
          </w:rPr>
          <w:t xml:space="preserve">https://legislative.gov.in/sites/default/files/A1934-30_0.pdf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spacing w:line="360" w:lineRule="auto"/>
        <w:jc w:val="both"/>
        <w:rPr/>
      </w:pPr>
      <w:bookmarkStart w:colFirst="0" w:colLast="0" w:name="_heading=h.f214qc5dhi02" w:id="7"/>
      <w:bookmarkEnd w:id="7"/>
      <w:r w:rsidDel="00000000" w:rsidR="00000000" w:rsidRPr="00000000">
        <w:rPr>
          <w:rtl w:val="0"/>
        </w:rPr>
        <w:t xml:space="preserve">What are the landmark judgements in this sector?</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Auva Gas Agency through Paul Roluahpuia v. Consumer Union, Vairengte South Branch, Mizoram</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district fora had directed the agency to compensate the consumers for over pricing and repair all defective items. The appeal was filed to the state commission but it was dismissed as the reasons for condonation of delay was not accepted. A revision petition was filed in NCDRC. This was dismissed and the NCDRC upheld the decision of the district and state commissions. </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M/S Jagdev Gas service v. Bansi Lal Taneja</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NCDRC held that the OP must ensure that gas refills are supplied to Complainant as per the norms at regular intervals.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spacing w:line="360" w:lineRule="auto"/>
        <w:jc w:val="both"/>
        <w:rPr/>
      </w:pPr>
      <w:bookmarkStart w:colFirst="0" w:colLast="0" w:name="_heading=h.7p373ae4wjii" w:id="8"/>
      <w:bookmarkEnd w:id="8"/>
      <w:r w:rsidDel="00000000" w:rsidR="00000000" w:rsidRPr="00000000">
        <w:rPr>
          <w:rtl w:val="0"/>
        </w:rPr>
        <w:t xml:space="preserve">What is the format of the complaint to be made under this sector?</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format. </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45">
      <w:pPr>
        <w:pStyle w:val="Heading1"/>
        <w:spacing w:line="360" w:lineRule="auto"/>
        <w:jc w:val="both"/>
        <w:rPr/>
      </w:pPr>
      <w:bookmarkStart w:colFirst="0" w:colLast="0" w:name="_heading=h.i8oc96s5fwy9" w:id="9"/>
      <w:bookmarkEnd w:id="9"/>
      <w:r w:rsidDel="00000000" w:rsidR="00000000" w:rsidRPr="00000000">
        <w:rPr>
          <w:rtl w:val="0"/>
        </w:rPr>
        <w:t xml:space="preserve">What are the important links and resources?</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INGRAM- </w:t>
      </w:r>
      <w:hyperlink r:id="rId16">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https://consumerhelpline.gov.in/faq-details.php?fid=Liquefied%20Petroleum%20Gas%20(Cylinders)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MoPNG E-SEWA- </w:t>
      </w:r>
      <w:hyperlink r:id="rId17">
        <w:r w:rsidDel="00000000" w:rsidR="00000000" w:rsidRPr="00000000">
          <w:rPr>
            <w:rFonts w:ascii="Times New Roman" w:cs="Times New Roman" w:eastAsia="Times New Roman" w:hAnsi="Times New Roman"/>
            <w:color w:val="1155cc"/>
            <w:sz w:val="24"/>
            <w:szCs w:val="24"/>
            <w:u w:val="single"/>
            <w:rtl w:val="0"/>
          </w:rPr>
          <w:t xml:space="preserve">https://www.mopnge-seva.in/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three lines on the right hand corner&gt; click on marketing division&gt; programs, schemes and initiatives- </w:t>
      </w:r>
      <w:hyperlink r:id="rId18">
        <w:r w:rsidDel="00000000" w:rsidR="00000000" w:rsidRPr="00000000">
          <w:rPr>
            <w:rFonts w:ascii="Times New Roman" w:cs="Times New Roman" w:eastAsia="Times New Roman" w:hAnsi="Times New Roman"/>
            <w:color w:val="1155cc"/>
            <w:sz w:val="24"/>
            <w:szCs w:val="24"/>
            <w:u w:val="single"/>
            <w:rtl w:val="0"/>
          </w:rPr>
          <w:t xml:space="preserve">https://mopng.gov.in/en#</w:t>
        </w:r>
      </w:hyperlink>
      <w:r w:rsidDel="00000000" w:rsidR="00000000" w:rsidRPr="00000000">
        <w:rPr>
          <w:rtl w:val="0"/>
        </w:rPr>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Petroleum and Natural Gas Regulatory Board- </w:t>
      </w:r>
      <w:hyperlink r:id="rId19">
        <w:r w:rsidDel="00000000" w:rsidR="00000000" w:rsidRPr="00000000">
          <w:rPr>
            <w:rFonts w:ascii="Times New Roman" w:cs="Times New Roman" w:eastAsia="Times New Roman" w:hAnsi="Times New Roman"/>
            <w:color w:val="1155cc"/>
            <w:sz w:val="24"/>
            <w:szCs w:val="24"/>
            <w:u w:val="single"/>
            <w:rtl w:val="0"/>
          </w:rPr>
          <w:t xml:space="preserve">https://pngrb.gov.in/eng-web/index.html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DIRECTORATE OF PUBLIC  GRIEVANCES - </w:t>
      </w:r>
      <w:hyperlink r:id="rId20">
        <w:r w:rsidDel="00000000" w:rsidR="00000000" w:rsidRPr="00000000">
          <w:rPr>
            <w:rFonts w:ascii="Times New Roman" w:cs="Times New Roman" w:eastAsia="Times New Roman" w:hAnsi="Times New Roman"/>
            <w:color w:val="1155cc"/>
            <w:sz w:val="24"/>
            <w:szCs w:val="24"/>
            <w:u w:val="single"/>
            <w:rtl w:val="0"/>
          </w:rPr>
          <w:t xml:space="preserve">dpg.gov.in</w:t>
        </w:r>
      </w:hyperlink>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footerReference r:id="rId2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riradha Rai" w:id="1" w:date="2024-10-08T05:01:14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@siddharth.m@nls.ac.in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India Safety Directorate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Directorate General of Mines</w:t>
      </w:r>
    </w:p>
  </w:comment>
  <w:comment w:author="Sriradha Rai" w:id="0" w:date="2024-10-08T04:55:5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@shruthi.nair@nls.ac.in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later stage. Also under CPA- limitation period for appeal is 30 days to each forum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2" w15:done="0"/>
  <w15:commentEx w15:paraId="0000005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i w:val="1"/>
      <w:sz w:val="24"/>
      <w:szCs w:val="24"/>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pg.gov.in/default.aspx" TargetMode="External"/><Relationship Id="rId11" Type="http://schemas.openxmlformats.org/officeDocument/2006/relationships/hyperlink" Target="http://jklm.nic.in/pdf/LPG_regulation_of_distribution.pdf" TargetMode="External"/><Relationship Id="rId10" Type="http://schemas.openxmlformats.org/officeDocument/2006/relationships/hyperlink" Target="http://www.pngrb.gov.in/pdf/Act/pngrbact.doc" TargetMode="External"/><Relationship Id="rId21" Type="http://schemas.openxmlformats.org/officeDocument/2006/relationships/footer" Target="footer1.xml"/><Relationship Id="rId13" Type="http://schemas.openxmlformats.org/officeDocument/2006/relationships/hyperlink" Target="https://cdrc.gujarat.gov.in/images/pdf/1-CC-Eng.pdf" TargetMode="External"/><Relationship Id="rId12" Type="http://schemas.openxmlformats.org/officeDocument/2006/relationships/hyperlink" Target="https://legislative.gov.in/sites/default/files/A1934-30_0.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om-ccpa@nic.in" TargetMode="External"/><Relationship Id="rId15" Type="http://schemas.openxmlformats.org/officeDocument/2006/relationships/hyperlink" Target="https://ncdrc.nic.in/cc.html" TargetMode="External"/><Relationship Id="rId14" Type="http://schemas.openxmlformats.org/officeDocument/2006/relationships/hyperlink" Target="https://cdrc.gujarat.gov.in/images/pdf/1-CC-Eng.pdf" TargetMode="External"/><Relationship Id="rId17" Type="http://schemas.openxmlformats.org/officeDocument/2006/relationships/hyperlink" Target="https://www.mopnge-seva.in/" TargetMode="External"/><Relationship Id="rId16" Type="http://schemas.openxmlformats.org/officeDocument/2006/relationships/hyperlink" Target="https://consumerhelpline.gov.in/faq-details.php?fid=Liquefied%20Petroleum%20Gas%20(Cylinders)" TargetMode="External"/><Relationship Id="rId5" Type="http://schemas.openxmlformats.org/officeDocument/2006/relationships/numbering" Target="numbering.xml"/><Relationship Id="rId19" Type="http://schemas.openxmlformats.org/officeDocument/2006/relationships/hyperlink" Target="https://pngrb.gov.in/eng-web/index.html" TargetMode="External"/><Relationship Id="rId6" Type="http://schemas.openxmlformats.org/officeDocument/2006/relationships/styles" Target="styles.xml"/><Relationship Id="rId18" Type="http://schemas.openxmlformats.org/officeDocument/2006/relationships/hyperlink" Target="https://mopng.gov.in/en#"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ETm8GpeiHHKcql7I0p9Q99zu/w==">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