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360" w:lineRule="auto"/>
        <w:jc w:val="both"/>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REAL ESTATE SECTOR</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is the real estate sector?”</w:t>
      </w:r>
      <w:r w:rsidDel="00000000" w:rsidR="00000000" w:rsidRPr="00000000">
        <w:rPr>
          <w:rtl w:val="0"/>
        </w:rPr>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“Real estate is the umbrella word for any land-based property that includes a building or structures. It entails the acquisition, resale,development of land,  as well as residential and nonresidential structures, rental and property management issues. Customers know virtually little about this industry. This is the reason why they are taken advantage of and defrauded in this industry.”</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are the available grounds for complaints?”</w:t>
      </w: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06">
      <w:pPr>
        <w:numPr>
          <w:ilvl w:val="0"/>
          <w:numId w:val="1"/>
        </w:numPr>
        <w:spacing w:before="24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False assurances about the provision of various amenities</w:t>
      </w:r>
      <w:r w:rsidDel="00000000" w:rsidR="00000000" w:rsidRPr="00000000">
        <w:rPr>
          <w:rtl w:val="0"/>
        </w:rPr>
      </w:r>
    </w:p>
    <w:p w:rsidR="00000000" w:rsidDel="00000000" w:rsidP="00000000" w:rsidRDefault="00000000" w:rsidRPr="00000000" w14:paraId="00000007">
      <w:pPr>
        <w:numPr>
          <w:ilvl w:val="0"/>
          <w:numId w:val="1"/>
        </w:numPr>
        <w:spacing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Delays in handing over possession even after making full and final payments.</w:t>
      </w:r>
      <w:r w:rsidDel="00000000" w:rsidR="00000000" w:rsidRPr="00000000">
        <w:rPr>
          <w:rtl w:val="0"/>
        </w:rPr>
      </w:r>
    </w:p>
    <w:p w:rsidR="00000000" w:rsidDel="00000000" w:rsidP="00000000" w:rsidRDefault="00000000" w:rsidRPr="00000000" w14:paraId="00000008">
      <w:pPr>
        <w:numPr>
          <w:ilvl w:val="0"/>
          <w:numId w:val="1"/>
        </w:numPr>
        <w:spacing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Clandestine sale of disputed properties which do not have a clear title.</w:t>
      </w:r>
      <w:r w:rsidDel="00000000" w:rsidR="00000000" w:rsidRPr="00000000">
        <w:rPr>
          <w:rtl w:val="0"/>
        </w:rPr>
      </w:r>
    </w:p>
    <w:p w:rsidR="00000000" w:rsidDel="00000000" w:rsidP="00000000" w:rsidRDefault="00000000" w:rsidRPr="00000000" w14:paraId="00000009">
      <w:pPr>
        <w:numPr>
          <w:ilvl w:val="0"/>
          <w:numId w:val="1"/>
        </w:numPr>
        <w:spacing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Wrong measurements and usage of sub-standard materials.</w:t>
      </w:r>
      <w:r w:rsidDel="00000000" w:rsidR="00000000" w:rsidRPr="00000000">
        <w:rPr>
          <w:rtl w:val="0"/>
        </w:rPr>
      </w:r>
    </w:p>
    <w:p w:rsidR="00000000" w:rsidDel="00000000" w:rsidP="00000000" w:rsidRDefault="00000000" w:rsidRPr="00000000" w14:paraId="0000000A">
      <w:pPr>
        <w:numPr>
          <w:ilvl w:val="0"/>
          <w:numId w:val="1"/>
        </w:numPr>
        <w:spacing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Charging more money than agreed.</w:t>
      </w:r>
      <w:r w:rsidDel="00000000" w:rsidR="00000000" w:rsidRPr="00000000">
        <w:rPr>
          <w:rtl w:val="0"/>
        </w:rPr>
      </w:r>
    </w:p>
    <w:p w:rsidR="00000000" w:rsidDel="00000000" w:rsidP="00000000" w:rsidRDefault="00000000" w:rsidRPr="00000000" w14:paraId="0000000B">
      <w:pPr>
        <w:numPr>
          <w:ilvl w:val="0"/>
          <w:numId w:val="1"/>
        </w:numPr>
        <w:spacing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Construction not completed within the promised duration.</w:t>
      </w:r>
      <w:r w:rsidDel="00000000" w:rsidR="00000000" w:rsidRPr="00000000">
        <w:rPr>
          <w:rtl w:val="0"/>
        </w:rPr>
      </w:r>
    </w:p>
    <w:p w:rsidR="00000000" w:rsidDel="00000000" w:rsidP="00000000" w:rsidRDefault="00000000" w:rsidRPr="00000000" w14:paraId="0000000C">
      <w:pPr>
        <w:numPr>
          <w:ilvl w:val="0"/>
          <w:numId w:val="1"/>
        </w:numPr>
        <w:spacing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Not providing the promised booked plot or flat.</w:t>
      </w:r>
      <w:r w:rsidDel="00000000" w:rsidR="00000000" w:rsidRPr="00000000">
        <w:rPr>
          <w:rtl w:val="0"/>
        </w:rPr>
      </w:r>
    </w:p>
    <w:p w:rsidR="00000000" w:rsidDel="00000000" w:rsidP="00000000" w:rsidRDefault="00000000" w:rsidRPr="00000000" w14:paraId="0000000D">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Refusal to return security deposit </w:t>
      </w:r>
    </w:p>
    <w:p w:rsidR="00000000" w:rsidDel="00000000" w:rsidP="00000000" w:rsidRDefault="00000000" w:rsidRPr="00000000" w14:paraId="0000000E">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Excessive deductions from the security deposit without adequate reason </w:t>
      </w:r>
    </w:p>
    <w:p w:rsidR="00000000" w:rsidDel="00000000" w:rsidP="00000000" w:rsidRDefault="00000000" w:rsidRPr="00000000" w14:paraId="0000000F">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rent without adequate notice </w:t>
      </w:r>
    </w:p>
    <w:p w:rsidR="00000000" w:rsidDel="00000000" w:rsidP="00000000" w:rsidRDefault="00000000" w:rsidRPr="00000000" w14:paraId="00000010">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providing necessary documentation for possession</w:t>
      </w:r>
    </w:p>
    <w:p w:rsidR="00000000" w:rsidDel="00000000" w:rsidP="00000000" w:rsidRDefault="00000000" w:rsidRPr="00000000" w14:paraId="00000011">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deliver possession on the agreed date specified in agreement</w:t>
      </w:r>
    </w:p>
    <w:p w:rsidR="00000000" w:rsidDel="00000000" w:rsidP="00000000" w:rsidRDefault="00000000" w:rsidRPr="00000000" w14:paraId="00000012">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refunding booking amount when failing to give timely possession</w:t>
      </w:r>
    </w:p>
    <w:p w:rsidR="00000000" w:rsidDel="00000000" w:rsidP="00000000" w:rsidRDefault="00000000" w:rsidRPr="00000000" w14:paraId="00000013">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clear title causing possession delays</w:t>
      </w:r>
    </w:p>
    <w:p w:rsidR="00000000" w:rsidDel="00000000" w:rsidP="00000000" w:rsidRDefault="00000000" w:rsidRPr="00000000" w14:paraId="0000001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obtain necessary permits causing possession delays</w:t>
      </w:r>
    </w:p>
    <w:p w:rsidR="00000000" w:rsidDel="00000000" w:rsidP="00000000" w:rsidRDefault="00000000" w:rsidRPr="00000000" w14:paraId="00000015">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are the modes or methods of complaint available?”</w:t>
      </w:r>
      <w:r w:rsidDel="00000000" w:rsidR="00000000" w:rsidRPr="00000000">
        <w:rPr>
          <w:rtl w:val="0"/>
        </w:rPr>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consumer can register his complaint through various available mechanisms. These are provided below in a step-by-step manner. </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(i) Giving a Notice to the Builder:</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shall issue a formal notice to the builder regarding the adverse practices being followed. If the builder does not respond within a reasonable period of time, the consumer can move further with the issue. At this point, the consumer can proceed under the RERA Act of 2016, and under the consumer protection act, 2019.</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(ii) Under RERA, 2016:</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 of the RERA Authority is to provide purchasers with relief by swiftly settling disputes. RERA is applicable to projects that did not have the completion certificate as of the date of the enactment. Therefore, the consumer can file complaints against projects that are registered with RERA. In doing so, the consumer shall go to the state website of consumer redressal in RERA cases and register their complaints. A step-by-step guide to the same could be found in the link given below:</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color w:val="1155cc"/>
          <w:sz w:val="24"/>
          <w:szCs w:val="24"/>
          <w:u w:val="single"/>
        </w:rPr>
      </w:pPr>
      <w:hyperlink r:id="rId7">
        <w:r w:rsidDel="00000000" w:rsidR="00000000" w:rsidRPr="00000000">
          <w:rPr>
            <w:rFonts w:ascii="Times New Roman" w:cs="Times New Roman" w:eastAsia="Times New Roman" w:hAnsi="Times New Roman"/>
            <w:color w:val="1155cc"/>
            <w:sz w:val="24"/>
            <w:szCs w:val="24"/>
            <w:u w:val="single"/>
            <w:rtl w:val="0"/>
          </w:rPr>
          <w:t xml:space="preserve">https://rera.karnataka.gov.in/resources/staticpage/complaint%20usermanual.pdf</w:t>
        </w:r>
      </w:hyperlink>
      <w:r w:rsidDel="00000000" w:rsidR="00000000" w:rsidRPr="00000000">
        <w:rPr>
          <w:rtl w:val="0"/>
        </w:rPr>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filling of the form, the consumer has to pay a small fee.</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(iii) Approaching Confederation of Real Estate Developers’ Association of India (“CREDAI”):</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in 1999, CREDAI is the apex body of private real estate developers in India, which has adopted a voluntary standard code of conduct aspiring towards ethical business practices. A complaint on their portal could be registered using the following link:  </w:t>
      </w:r>
      <w:hyperlink r:id="rId8">
        <w:r w:rsidDel="00000000" w:rsidR="00000000" w:rsidRPr="00000000">
          <w:rPr>
            <w:rFonts w:ascii="Times New Roman" w:cs="Times New Roman" w:eastAsia="Times New Roman" w:hAnsi="Times New Roman"/>
            <w:color w:val="1155cc"/>
            <w:sz w:val="24"/>
            <w:szCs w:val="24"/>
            <w:u w:val="single"/>
            <w:rtl w:val="0"/>
          </w:rPr>
          <w:t xml:space="preserve">https://credai.org/register-your-complaint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hd w:fill="ffffff" w:val="clea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(iv) Approaching any other appropriate judicial or quasi-judicial body:</w:t>
      </w:r>
    </w:p>
    <w:p w:rsidR="00000000" w:rsidDel="00000000" w:rsidP="00000000" w:rsidRDefault="00000000" w:rsidRPr="00000000" w14:paraId="00000022">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is free to take the service provider to a court or any other suitable venue (judicial or quasi-judicial). The proceedings in consumer commissions are not mired by the niceties of procedure, allowing the complainant to file a complaint for himself. As a consumer, the aggrieved party can take the service provider to the appropriate consumer commission, based on the pecuniary and territorial jurisdiction. The jurisdictions of the various consumer commissions are as follows-</w:t>
      </w:r>
    </w:p>
    <w:p w:rsidR="00000000" w:rsidDel="00000000" w:rsidP="00000000" w:rsidRDefault="00000000" w:rsidRPr="00000000" w14:paraId="00000023">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 District Commission:</w:t>
      </w:r>
      <w:r w:rsidDel="00000000" w:rsidR="00000000" w:rsidRPr="00000000">
        <w:rPr>
          <w:rFonts w:ascii="Times New Roman" w:cs="Times New Roman" w:eastAsia="Times New Roman" w:hAnsi="Times New Roman"/>
          <w:sz w:val="24"/>
          <w:szCs w:val="24"/>
          <w:rtl w:val="0"/>
        </w:rPr>
        <w:t xml:space="preserve"> The aggrieved consumer can reach out to the District Commission under section 34 of the CPA, 2019, which provides that the district commission shall entertain matters where the value of the goods or services paid as consideration does not exceed more than fifty lakhs rupees.</w:t>
      </w:r>
    </w:p>
    <w:p w:rsidR="00000000" w:rsidDel="00000000" w:rsidP="00000000" w:rsidRDefault="00000000" w:rsidRPr="00000000" w14:paraId="00000024">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 State Commission:</w:t>
      </w:r>
      <w:r w:rsidDel="00000000" w:rsidR="00000000" w:rsidRPr="00000000">
        <w:rPr>
          <w:rFonts w:ascii="Times New Roman" w:cs="Times New Roman" w:eastAsia="Times New Roman" w:hAnsi="Times New Roman"/>
          <w:sz w:val="24"/>
          <w:szCs w:val="24"/>
          <w:rtl w:val="0"/>
        </w:rPr>
        <w:t xml:space="preserve"> In cases where the value of the goods or services paid as consideration is more than fifty lakhs,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25">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 National Commission:</w:t>
      </w:r>
      <w:r w:rsidDel="00000000" w:rsidR="00000000" w:rsidRPr="00000000">
        <w:rPr>
          <w:rFonts w:ascii="Times New Roman" w:cs="Times New Roman" w:eastAsia="Times New Roman" w:hAnsi="Times New Roman"/>
          <w:sz w:val="24"/>
          <w:szCs w:val="24"/>
          <w:rtl w:val="0"/>
        </w:rPr>
        <w:t xml:space="preserve">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Authority.Moreover, it must also be kept in mind, that section 100 of the CPA, 2019 provides that the remedy under CPA is in addition and not in derogation of other available remedies.Another remedy available to consumers is mediation. Chapter 5 of the Consumer Protection Act provides for establishing mediation cells and resolving consumer complaints using mediation. The following link could be used to file complaints online:</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https://consumerhelpline.gov.in/</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are the regulatory bodies in this sector?”</w:t>
      </w:r>
      <w:r w:rsidDel="00000000" w:rsidR="00000000" w:rsidRPr="00000000">
        <w:rPr>
          <w:rtl w:val="0"/>
        </w:rPr>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i w:val="1"/>
          <w:sz w:val="24"/>
          <w:szCs w:val="24"/>
          <w:rtl w:val="0"/>
        </w:rPr>
        <w:t xml:space="preserve">1. Real Estate Regulatory Authority</w:t>
      </w:r>
      <w:r w:rsidDel="00000000" w:rsidR="00000000" w:rsidRPr="00000000">
        <w:rPr>
          <w:rFonts w:ascii="Times New Roman" w:cs="Times New Roman" w:eastAsia="Times New Roman" w:hAnsi="Times New Roman"/>
          <w:sz w:val="24"/>
          <w:szCs w:val="24"/>
          <w:rtl w:val="0"/>
        </w:rPr>
        <w:t xml:space="preserve"> is known by the acronym RERA Authority. It was created by the government to regulate how the real estate sector is run. The purpose behind the government's introduction of the body was to provide accessibility and transparency for both parties engaged in purchasing and selling real estate. The body has the power to mandate the developers and real estate marketers to provide all pertinent project information. Additionally, each real estate agent is required to register both themselves and their projects with the right authorities. The main goal of the RERA Authority is to provide purchasers with relief by swiftly settling disputes. Enforcement of industry openness and accountability is another responsibility of the Authority.</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Ministry of Housing and Urban Affairs (MoHUA): The central ministry responsible for formulating policies and implementing programs related to housing and urban development.</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State Urban Development Authorities: State-level bodies that manage urban planning, development, and regulation within their respective jurisdictions.</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Local Municipal Corporations: These local bodies handle the approval of building plans, property tax collection, and other municipal services related to real estate.</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National Housing Bank (NHB): The National Housing Bank (NHB) is a wholly owned subsidiary of the Reserve Bank of India, established to promote housing finance institutions and ensure a sound housing finance system in the country. For real estate consumers, NHB plays a crucial role by regulating housing finance companies, facilitating affordable housing, and protecting home loan borrowers through policy guidelines and grievance redressal mechanisms.</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State-wise RERA Authorities : which can be found here </w:t>
      </w:r>
      <w:hyperlink r:id="rId10">
        <w:r w:rsidDel="00000000" w:rsidR="00000000" w:rsidRPr="00000000">
          <w:rPr>
            <w:rFonts w:ascii="Times New Roman" w:cs="Times New Roman" w:eastAsia="Times New Roman" w:hAnsi="Times New Roman"/>
            <w:color w:val="1155cc"/>
            <w:sz w:val="24"/>
            <w:szCs w:val="24"/>
            <w:u w:val="single"/>
            <w:rtl w:val="0"/>
          </w:rPr>
          <w:t xml:space="preserve">https://aiforera.in/statewise-rera</w:t>
        </w:r>
      </w:hyperlink>
      <w:r w:rsidDel="00000000" w:rsidR="00000000" w:rsidRPr="00000000">
        <w:rPr>
          <w:rtl w:val="0"/>
        </w:rPr>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are the rules, Acts, and Guidelines that govern this sector?”</w:t>
      </w:r>
      <w:r w:rsidDel="00000000" w:rsidR="00000000" w:rsidRPr="00000000">
        <w:rPr>
          <w:rtl w:val="0"/>
        </w:rPr>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Real Estate (Regulation and Development) Act, 2016</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 Estate (Regulation and Development) Act, 2016 is an Act of the Parliament of India which seeks to protect home-buyers as well as help boost investments in the real estate industry. This Act brings fair practices in the real estate sector that would protect the interests of the buyers. It also imposes penalties on errant builders.</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color w:val="1155cc"/>
          <w:sz w:val="24"/>
          <w:szCs w:val="24"/>
          <w:u w:val="single"/>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https://legislative.gov.in/sites/default/files/A2016-16_0.pdf</w:t>
        </w:r>
      </w:hyperlink>
      <w:r w:rsidDel="00000000" w:rsidR="00000000" w:rsidRPr="00000000">
        <w:rPr>
          <w:rtl w:val="0"/>
        </w:rPr>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it establishes the Real Estate Regulatory Authority (RERA) in each State for regulation of the real estate sector and also to act as an adjudicating body for a speedy Redressal of disputes. It is applicable for all commercial and residential real estate projects where the land is over 500 square metres.</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Transfer of Property Act, 1882</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https://www.indiacode.nic.in/bitstream/123456789/2338/1/A1882-04.pdf</w:t>
        </w:r>
      </w:hyperlink>
      <w:r w:rsidDel="00000000" w:rsidR="00000000" w:rsidRPr="00000000">
        <w:rPr>
          <w:rtl w:val="0"/>
        </w:rPr>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Transfer of Property Act, 1882 governs the transfer of immovable property in India through means such as sale, mortgage, lease, gift, or exchange. It lays down the legal framework for property rights, ensuring clarity and enforceability of transactions. For real estate consumers, it provides legal protection in dealings with developers or sellers, helping prevent fraud and disputes in property transfers.</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Indian Stamp Act, 1899</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https://www.indiacode.nic.in/bitstream/123456789/13205/1/the_indian_stamp_act%2C_1899.pdf</w:t>
        </w:r>
      </w:hyperlink>
      <w:r w:rsidDel="00000000" w:rsidR="00000000" w:rsidRPr="00000000">
        <w:rPr>
          <w:rtl w:val="0"/>
        </w:rPr>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Indian Stamp Act, 1899 governs the imposition of stamp duty on legal documents such as sale deeds, lease agreements, and property transfers. In the real estate sector, it ensures legal validity and enforceability of property transactions. For consumers, paying the correct stamp duty is crucial for establishing ownership rights and avoiding future legal disputes.</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Registration Act 1908</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https://www.indiacode.nic.in/bitstream/123456789/15937/1/the_registration_act%2C1908.pdf</w:t>
        </w:r>
      </w:hyperlink>
      <w:r w:rsidDel="00000000" w:rsidR="00000000" w:rsidRPr="00000000">
        <w:rPr>
          <w:rtl w:val="0"/>
        </w:rPr>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Act, 1908 mandates the registration of key property-related documents such as sale deeds, lease agreements (over 12 months), and gift deeds. Its primary purpose is to ensure legal validity, transparency, and public record of property transactions. For real estate consumers, it provides legal protection of ownership rights, helps prevent fraud, and is crucial for establishing clear title to property.</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Indian Contracts Act, 1872</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A187209.pdf</w:t>
        </w:r>
      </w:hyperlink>
      <w:r w:rsidDel="00000000" w:rsidR="00000000" w:rsidRPr="00000000">
        <w:rPr>
          <w:rtl w:val="0"/>
        </w:rPr>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color w:val="344054"/>
          <w:sz w:val="24"/>
          <w:szCs w:val="24"/>
          <w:highlight w:val="white"/>
        </w:rPr>
      </w:pPr>
      <w:r w:rsidDel="00000000" w:rsidR="00000000" w:rsidRPr="00000000">
        <w:rPr>
          <w:rFonts w:ascii="Times New Roman" w:cs="Times New Roman" w:eastAsia="Times New Roman" w:hAnsi="Times New Roman"/>
          <w:color w:val="344054"/>
          <w:sz w:val="24"/>
          <w:szCs w:val="24"/>
          <w:highlight w:val="white"/>
          <w:rtl w:val="0"/>
        </w:rPr>
        <w:t xml:space="preserve">The Indian Contract Act governs the formation and execution of contracts, including real estate agreements. It defines the roles and responsibilities of the parties involved and ensures that contracts are legally binding and enforceable.</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color w:val="1d2939"/>
          <w:sz w:val="24"/>
          <w:szCs w:val="24"/>
          <w:highlight w:val="white"/>
        </w:rPr>
      </w:pPr>
      <w:r w:rsidDel="00000000" w:rsidR="00000000" w:rsidRPr="00000000">
        <w:rPr>
          <w:rFonts w:ascii="Times New Roman" w:cs="Times New Roman" w:eastAsia="Times New Roman" w:hAnsi="Times New Roman"/>
          <w:color w:val="344054"/>
          <w:sz w:val="24"/>
          <w:szCs w:val="24"/>
          <w:highlight w:val="white"/>
          <w:rtl w:val="0"/>
        </w:rPr>
        <w:t xml:space="preserve">7. </w:t>
      </w:r>
      <w:r w:rsidDel="00000000" w:rsidR="00000000" w:rsidRPr="00000000">
        <w:rPr>
          <w:rFonts w:ascii="Times New Roman" w:cs="Times New Roman" w:eastAsia="Times New Roman" w:hAnsi="Times New Roman"/>
          <w:color w:val="1d2939"/>
          <w:sz w:val="24"/>
          <w:szCs w:val="24"/>
          <w:highlight w:val="white"/>
          <w:rtl w:val="0"/>
        </w:rPr>
        <w:t xml:space="preserve">Indian Succession Act, 1925</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color w:val="344054"/>
          <w:sz w:val="24"/>
          <w:szCs w:val="24"/>
          <w:highlight w:val="white"/>
        </w:rPr>
      </w:pPr>
      <w:hyperlink r:id="rId16">
        <w:r w:rsidDel="00000000" w:rsidR="00000000" w:rsidRPr="00000000">
          <w:rPr>
            <w:rFonts w:ascii="Times New Roman" w:cs="Times New Roman" w:eastAsia="Times New Roman" w:hAnsi="Times New Roman"/>
            <w:color w:val="1155cc"/>
            <w:sz w:val="24"/>
            <w:szCs w:val="24"/>
            <w:highlight w:val="white"/>
            <w:u w:val="single"/>
            <w:rtl w:val="0"/>
          </w:rPr>
          <w:t xml:space="preserve">A1925-39.pdf</w:t>
        </w:r>
      </w:hyperlink>
      <w:r w:rsidDel="00000000" w:rsidR="00000000" w:rsidRPr="00000000">
        <w:rPr>
          <w:rFonts w:ascii="Times New Roman" w:cs="Times New Roman" w:eastAsia="Times New Roman" w:hAnsi="Times New Roman"/>
          <w:color w:val="344054"/>
          <w:sz w:val="24"/>
          <w:szCs w:val="24"/>
          <w:highlight w:val="white"/>
          <w:rtl w:val="0"/>
        </w:rPr>
        <w:t xml:space="preserve"> This act regulates the succession of property, both testamentary (as per the will) and intestate (without a will), ensuring a legal framework for the transfer of assets upon the owner's death.</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60" w:line="360" w:lineRule="auto"/>
        <w:jc w:val="both"/>
        <w:rPr>
          <w:rFonts w:ascii="Times New Roman" w:cs="Times New Roman" w:eastAsia="Times New Roman" w:hAnsi="Times New Roman"/>
          <w:color w:val="1d2939"/>
          <w:sz w:val="24"/>
          <w:szCs w:val="24"/>
          <w:highlight w:val="white"/>
        </w:rPr>
      </w:pPr>
      <w:r w:rsidDel="00000000" w:rsidR="00000000" w:rsidRPr="00000000">
        <w:rPr>
          <w:rFonts w:ascii="Times New Roman" w:cs="Times New Roman" w:eastAsia="Times New Roman" w:hAnsi="Times New Roman"/>
          <w:color w:val="344054"/>
          <w:sz w:val="24"/>
          <w:szCs w:val="24"/>
          <w:highlight w:val="white"/>
          <w:rtl w:val="0"/>
        </w:rPr>
        <w:t xml:space="preserve">8. </w:t>
      </w:r>
      <w:r w:rsidDel="00000000" w:rsidR="00000000" w:rsidRPr="00000000">
        <w:rPr>
          <w:rFonts w:ascii="Times New Roman" w:cs="Times New Roman" w:eastAsia="Times New Roman" w:hAnsi="Times New Roman"/>
          <w:color w:val="1d2939"/>
          <w:sz w:val="24"/>
          <w:szCs w:val="24"/>
          <w:highlight w:val="white"/>
          <w:rtl w:val="0"/>
        </w:rPr>
        <w:t xml:space="preserve">Foreign Exchange Management Act, 1999 (FEMA)</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60" w:line="360" w:lineRule="auto"/>
        <w:jc w:val="both"/>
        <w:rPr>
          <w:rFonts w:ascii="Times New Roman" w:cs="Times New Roman" w:eastAsia="Times New Roman" w:hAnsi="Times New Roman"/>
          <w:color w:val="344054"/>
          <w:sz w:val="24"/>
          <w:szCs w:val="24"/>
          <w:highlight w:val="white"/>
        </w:rPr>
      </w:pP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A1999_42.pdf</w:t>
        </w:r>
      </w:hyperlink>
      <w:r w:rsidDel="00000000" w:rsidR="00000000" w:rsidRPr="00000000">
        <w:rPr>
          <w:rFonts w:ascii="Times New Roman" w:cs="Times New Roman" w:eastAsia="Times New Roman" w:hAnsi="Times New Roman"/>
          <w:color w:val="344054"/>
          <w:sz w:val="24"/>
          <w:szCs w:val="24"/>
          <w:highlight w:val="white"/>
          <w:rtl w:val="0"/>
        </w:rPr>
        <w:t xml:space="preserve"> FEMA governs the inflow of foreign investment into the real estate sector, outlining the rules for foreign entities and non-resident Indians (NRIs) regarding property acquisition and investment in India.</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60" w:line="360" w:lineRule="auto"/>
        <w:jc w:val="both"/>
        <w:rPr>
          <w:rFonts w:ascii="Times New Roman" w:cs="Times New Roman" w:eastAsia="Times New Roman" w:hAnsi="Times New Roman"/>
          <w:color w:val="1d2939"/>
          <w:sz w:val="24"/>
          <w:szCs w:val="24"/>
          <w:highlight w:val="white"/>
        </w:rPr>
      </w:pPr>
      <w:r w:rsidDel="00000000" w:rsidR="00000000" w:rsidRPr="00000000">
        <w:rPr>
          <w:rFonts w:ascii="Times New Roman" w:cs="Times New Roman" w:eastAsia="Times New Roman" w:hAnsi="Times New Roman"/>
          <w:color w:val="344054"/>
          <w:sz w:val="24"/>
          <w:szCs w:val="24"/>
          <w:highlight w:val="white"/>
          <w:rtl w:val="0"/>
        </w:rPr>
        <w:t xml:space="preserve">9. </w:t>
      </w:r>
      <w:r w:rsidDel="00000000" w:rsidR="00000000" w:rsidRPr="00000000">
        <w:rPr>
          <w:rFonts w:ascii="Times New Roman" w:cs="Times New Roman" w:eastAsia="Times New Roman" w:hAnsi="Times New Roman"/>
          <w:color w:val="1d2939"/>
          <w:sz w:val="24"/>
          <w:szCs w:val="24"/>
          <w:highlight w:val="white"/>
          <w:rtl w:val="0"/>
        </w:rPr>
        <w:t xml:space="preserve">Rehabilitation and Resettlement Act, 2013</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60" w:line="360" w:lineRule="auto"/>
        <w:jc w:val="both"/>
        <w:rPr>
          <w:rFonts w:ascii="Times New Roman" w:cs="Times New Roman" w:eastAsia="Times New Roman" w:hAnsi="Times New Roman"/>
          <w:color w:val="344054"/>
          <w:sz w:val="24"/>
          <w:szCs w:val="24"/>
          <w:highlight w:val="white"/>
        </w:rPr>
      </w:pP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A2013-30.pdf</w:t>
        </w:r>
      </w:hyperlink>
      <w:r w:rsidDel="00000000" w:rsidR="00000000" w:rsidRPr="00000000">
        <w:rPr>
          <w:rFonts w:ascii="Times New Roman" w:cs="Times New Roman" w:eastAsia="Times New Roman" w:hAnsi="Times New Roman"/>
          <w:color w:val="344054"/>
          <w:sz w:val="24"/>
          <w:szCs w:val="24"/>
          <w:highlight w:val="white"/>
          <w:rtl w:val="0"/>
        </w:rPr>
        <w:t xml:space="preserve"> This act sets the procedures for land acquisition by the government, including compensation, rehabilitation, and resettlement of affected persons. It ensures that those displaced by development projects receive fair treatment and opportunities for legal redress.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60" w:line="360" w:lineRule="auto"/>
        <w:jc w:val="both"/>
        <w:rPr>
          <w:rFonts w:ascii="Times New Roman" w:cs="Times New Roman" w:eastAsia="Times New Roman" w:hAnsi="Times New Roman"/>
          <w:color w:val="344054"/>
          <w:sz w:val="24"/>
          <w:szCs w:val="24"/>
          <w:highlight w:val="white"/>
        </w:rPr>
      </w:pPr>
      <w:r w:rsidDel="00000000" w:rsidR="00000000" w:rsidRPr="00000000">
        <w:rPr>
          <w:rFonts w:ascii="Times New Roman" w:cs="Times New Roman" w:eastAsia="Times New Roman" w:hAnsi="Times New Roman"/>
          <w:color w:val="344054"/>
          <w:sz w:val="24"/>
          <w:szCs w:val="24"/>
          <w:highlight w:val="white"/>
          <w:rtl w:val="0"/>
        </w:rPr>
        <w:t xml:space="preserve">10. Model Tenancy Act, 2019</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60" w:line="360" w:lineRule="auto"/>
        <w:jc w:val="both"/>
        <w:rPr>
          <w:rFonts w:ascii="Times New Roman" w:cs="Times New Roman" w:eastAsia="Times New Roman" w:hAnsi="Times New Roman"/>
          <w:color w:val="344054"/>
          <w:sz w:val="24"/>
          <w:szCs w:val="24"/>
          <w:highlight w:val="white"/>
        </w:rPr>
      </w:pP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12 Mizo.pdf</w:t>
        </w:r>
      </w:hyperlink>
      <w:r w:rsidDel="00000000" w:rsidR="00000000" w:rsidRPr="00000000">
        <w:rPr>
          <w:rFonts w:ascii="Times New Roman" w:cs="Times New Roman" w:eastAsia="Times New Roman" w:hAnsi="Times New Roman"/>
          <w:color w:val="344054"/>
          <w:sz w:val="24"/>
          <w:szCs w:val="24"/>
          <w:highlight w:val="white"/>
          <w:rtl w:val="0"/>
        </w:rPr>
        <w:t xml:space="preserve"> The Model Tenancy Act, 2019 aims to regulate rental housing by clearly defining the rights and obligations of landlords and tenants. It promotes transparency, faster dispute resolution, and encourages formalization of the rental market.</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60" w:line="360" w:lineRule="auto"/>
        <w:jc w:val="both"/>
        <w:rPr>
          <w:rFonts w:ascii="Times New Roman" w:cs="Times New Roman" w:eastAsia="Times New Roman" w:hAnsi="Times New Roman"/>
          <w:color w:val="344054"/>
          <w:sz w:val="24"/>
          <w:szCs w:val="24"/>
          <w:highlight w:val="white"/>
        </w:rPr>
      </w:pPr>
      <w:r w:rsidDel="00000000" w:rsidR="00000000" w:rsidRPr="00000000">
        <w:rPr>
          <w:rFonts w:ascii="Times New Roman" w:cs="Times New Roman" w:eastAsia="Times New Roman" w:hAnsi="Times New Roman"/>
          <w:color w:val="344054"/>
          <w:sz w:val="24"/>
          <w:szCs w:val="24"/>
          <w:highlight w:val="white"/>
          <w:rtl w:val="0"/>
        </w:rPr>
        <w:t xml:space="preserve">11. National Building Code-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60" w:line="360" w:lineRule="auto"/>
        <w:jc w:val="both"/>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National Building Code of India 2016 (Volume 1) : Bureau of Indian Standards : Free Download, Borrow, and Streaming : Internet Archive</w:t>
        </w:r>
      </w:hyperlink>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National Building Code (NBC) of India is a comprehensive set of guidelines that standardizes construction practices to ensure safety, sustainability, and functionality of buildings. It covers aspects like structural design, fire safety, building materials, accessibility, and energy efficiency. For real estate consumers, the NBC ensures that homes and commercial spaces are built to regulated safety and quality standards, helping prevent structural failures, fire hazards, and unsafe living conditions. Compliance with NBC is critical for safeguarding consumer rights and public safety in real estate development.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Rent Control Act, 1948- </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Rent Control Act, 1948 was enacted by the Government of India to protect tenants from arbitrary eviction and unfair rent increases. It aimed to regulate the rent of residential and commercial properties, ensure security of tenure, and maintain a fair balance between the rights of landlords and tenants. Over time, individual states introduced their own versions of the Act to address region-specific housing needs. The Rent Control Statute does not apply to premises leased to banks, public sector undertakings, corporations founded by or under any state or federal act, foreign embassies, multinational corporations, or international organisations. It also excludes private and public limited companies with a paid-up share capital of ₹1 crore or more. Where the monthly rent exceeds ₹3,500, the Transfer of Property Act (TPA) governs the leasing agreement. Under the TPA, landlords are obliged to disclose any material faults in the property.”</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are the landmark judgements in the sector?”</w:t>
      </w: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4F">
      <w:pPr>
        <w:numPr>
          <w:ilvl w:val="0"/>
          <w:numId w:val="2"/>
        </w:numPr>
        <w:spacing w:after="240" w:before="240" w:line="360" w:lineRule="auto"/>
        <w:ind w:left="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Sanjay Gupta v. Three C Shelters [CC/3814 OF 2017/2020, NCDRC] </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involved multiple homebuyers who purchased apartments in the "Greenopolis" project in Gurgaon during 2012-2013, with possession promised by 2016 after paying substantial amounts between ₹73-95 lakhs. When the developers failed to complete construction even by 2017-18, most buyers sought refunds with interest, while one requested possession. Though the developers claimed force majeure due to water restrictions, the court rejected this defense, determining that buyers had the right to seek refunds for inordinate delays. The court ordered Orris Infrastructure to refund amounts with 9% interest (reduced from the requested 18%), noting that since they received the payments, they were liable for refunds. In the above case, it was held that the delay in handing the possession of the property is a valid ground for claiming of refund by the complainant. </w:t>
      </w:r>
    </w:p>
    <w:p w:rsidR="00000000" w:rsidDel="00000000" w:rsidP="00000000" w:rsidRDefault="00000000" w:rsidRPr="00000000" w14:paraId="00000051">
      <w:pPr>
        <w:numPr>
          <w:ilvl w:val="0"/>
          <w:numId w:val="2"/>
        </w:numPr>
        <w:spacing w:after="240" w:before="240" w:line="360" w:lineRule="auto"/>
        <w:ind w:left="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Wg. Cdr. Arifur Rahman Khan and Aleva Sultana &amp; others v. DLF Southern Homes Pvt. Ltd [CA/6239 and 6303/2019/2020, SC] </w:t>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339 flat buyers challenged the NCDRC's dismissal of their complaint against DLF Southern Homes regarding delayed possession of flats and inadequate compensation. The Supreme Court overturned the NCDRC's decision, ruling that the buyers were entitled to 6% simple interest per annum as compensation, in addition to the originally stipulated Rs. 5 per square foot per month, due to the developer's failure to meet contractual obligations and provide promised amenities. The Supreme Court held that failure of the developer to comply with the contractual obligation to provide the flat to a purchaser within a contractually stipulated period amounts to a deficiency of service. </w:t>
      </w:r>
    </w:p>
    <w:p w:rsidR="00000000" w:rsidDel="00000000" w:rsidP="00000000" w:rsidRDefault="00000000" w:rsidRPr="00000000" w14:paraId="00000053">
      <w:pPr>
        <w:numPr>
          <w:ilvl w:val="0"/>
          <w:numId w:val="2"/>
        </w:numPr>
        <w:spacing w:after="240" w:before="240" w:line="360" w:lineRule="auto"/>
        <w:ind w:left="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u w:val="single"/>
          <w:rtl w:val="0"/>
        </w:rPr>
        <w:t xml:space="preserve">Imperia Structures Ltd. Vs. Anil Patni and Ors. [CA/3581-3590/2020, SC] </w:t>
      </w:r>
      <w:r w:rsidDel="00000000" w:rsidR="00000000" w:rsidRPr="00000000">
        <w:rPr>
          <w:rtl w:val="0"/>
        </w:rPr>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involves a dispute where homebuyers sought refunds for apartments they booked with Imperia Structures Ltd., as the project remained incomplete after four years. The Supreme Court upheld the Consumer Commission's order directing the developer to refund the deposits with interest, confirming that homebuyers can seek remedies under the Consumer Protection Act even after the implementation of RERA (Real Estate Regulation Act). The court held that the remedy under RERA is without prejudice to any other remedy available and, therefore, remedy under the CPA is available in addition to other legislations and not in derogation thereof.</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rtl w:val="0"/>
        </w:rPr>
        <w:t xml:space="preserve">4. </w:t>
      </w:r>
      <w:r w:rsidDel="00000000" w:rsidR="00000000" w:rsidRPr="00000000">
        <w:rPr>
          <w:rFonts w:ascii="Times New Roman" w:cs="Times New Roman" w:eastAsia="Times New Roman" w:hAnsi="Times New Roman"/>
          <w:b w:val="1"/>
          <w:i w:val="1"/>
          <w:sz w:val="24"/>
          <w:szCs w:val="24"/>
          <w:u w:val="single"/>
          <w:rtl w:val="0"/>
        </w:rPr>
        <w:t xml:space="preserve">Pioneer Urban Land and Infrastructure Ltd. v. Govindan Raghavan [Civil Appeal No. 12238 of 2018, Supreme Court]</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homebuyer had booked a flat in a project by Pioneer Urban in Gurugram, with possession promised within 36 months. Despite paying over 95% of the total cost, the builder failed to hand over possession within the stipulated time. The buyer sought a refund along with interest. The builder contended that since the buyer had signed the builder-buyer agreement, they were bound by its terms, including delay clauses. However, the Supreme Court held that such one-sided agreements are unfair and that a significant delay in possession is a valid ground for seeking a refund. The Court emphasized that a buyer cannot be made to wait indefinitely and directed the developer to refund the amount with interest.</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i w:val="1"/>
          <w:sz w:val="24"/>
          <w:szCs w:val="24"/>
          <w:u w:val="single"/>
          <w:rtl w:val="0"/>
        </w:rPr>
        <w:t xml:space="preserve">M/s Suneja Towers Pvt. Ltd. &amp; Anr. v. Anita Merchant [Civil Appeal No. 2892-2894 of 2023, Supreme Court]</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Anita Merchant, an NRI homebuyer, booked three flats with Suneja Towers in 1989 and paid around 60% of the total consideration. Despite the substantial payment, the developer failed to deliver possession for decades. The buyer sought a refund with compound interest. The developer contested the claim, arguing commercial intent and denying her consumer status. However, the Supreme Court upheld her right as a consumer and noted that while compensation can be awarded for deficiency in service, compound interest is not to be granted as a matter of course. The Court allowed her to retain the amount already awarded with interest but denied further compound interest. It clarified that consumer forums must exercise discretion based on facts and are not bound to follow precedents from other statutes when awarding compensation.</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6. Ghanshyam v. Yogendra Rathi [Civil Appeal Nos. 7527–7528 of 2012, Supreme Court]</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respondent had entered into an agreement to sell with the appellant and paid the entire sale consideration, receiving possession of the property along with a possession memo. The appellant also executed a Power of Attorney and a Will in the respondent’s favor. Later, the appellant re-entered the property as a licensee but refused to vacate after the license expired. The respondent filed for eviction and mesne profits. The Supreme Court held that although the respondent did not become the legal owner in the absence of a registered sale deed, he was entitled to protection under Section 53A of the Transfer of Property Act. The Court ruled that a person in lawful possession under a valid agreement to sell cannot be arbitrarily evicted and upheld the decree of eviction and award of mesne profits against the appellant.</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7. Aftab Singh v. Emaar MGF Land Limited &amp; Anr. [Consumer Case No. 701 of 2015, NCDRC; Civil Appeal Nos. 23512–23513 of 2017, Supreme Court]</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complainant, Aftab Singh, booked a residential unit with Emaar MGF, but the builder failed to deliver possession within the stipulated time. The Buyer’s Agreement contained an arbitration clause, which the builder later invoked to argue that the dispute should be referred to arbitration under Section 8 of the Arbitration and Conciliation Act, 1996 (as amended in 2015). The National Consumer Disputes Redressal Commission (NCDRC) rejected this plea, holding that the existence of an arbitration clause does not bar the jurisdiction of consumer forums. The Supreme Court upheld this view and dismissed the appeal, affirming that remedies under the Consumer Protection Act are special and in addition to remedies available under general law. The Court ruled that consumers cannot be forced into arbitration if they choose to approach the consumer forum.</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8. Geetanjali Aman Construction v. Hrishikesh Ramesh Paranjpe [MahaRERA Appeal No. RC‑03/2019]</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promoter, Geetanjali Aman Construction, developed a project consisting of 22 flats and 9 shops on a plot measuring less than 500 square meters. The promoter claimed exemption from registration under Section 3(2)(a) of the Real Estate (Regulation and Development) Act, 2016, which exempts projects from registration if the land area is below 500 sq.m. or the number of apartments does not exceed 8. However, since the project had more than 8 apartments, the complainant, Hrishikesh Ramesh Paranjpe, argued that the project should be registered. The MahaRERA Appellate Tribunal held that the exemption under Section 3(2)(a) is available only when both conditions—area less than 500 sq.m. and apartments not exceeding 8 are satisfied. Since the number of flats exceeded the prescribed limit, the exemption was not applicable. The Tribunal upheld the MahaRERA’s order directing the promoter to register the project and pay penalties.</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i w:val="1"/>
          <w:sz w:val="24"/>
          <w:szCs w:val="24"/>
          <w:rtl w:val="0"/>
        </w:rPr>
        <w:t xml:space="preserve">9. </w:t>
      </w:r>
      <w:r w:rsidDel="00000000" w:rsidR="00000000" w:rsidRPr="00000000">
        <w:rPr>
          <w:rFonts w:ascii="Times New Roman" w:cs="Times New Roman" w:eastAsia="Times New Roman" w:hAnsi="Times New Roman"/>
          <w:b w:val="1"/>
          <w:i w:val="1"/>
          <w:sz w:val="24"/>
          <w:szCs w:val="24"/>
          <w:u w:val="single"/>
          <w:rtl w:val="0"/>
        </w:rPr>
        <w:t xml:space="preserve">Mr. Jatin Mavani v. M/s. Rare Township Pvt. Ltd.</w:t>
      </w:r>
      <w:r w:rsidDel="00000000" w:rsidR="00000000" w:rsidRPr="00000000">
        <w:rPr>
          <w:rFonts w:ascii="Times New Roman" w:cs="Times New Roman" w:eastAsia="Times New Roman" w:hAnsi="Times New Roman"/>
          <w:b w:val="1"/>
          <w:sz w:val="24"/>
          <w:szCs w:val="24"/>
          <w:u w:val="single"/>
          <w:rtl w:val="0"/>
        </w:rPr>
        <w:t xml:space="preserve"> [MahaRERA Complaint No.  00006000000055013]</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complainant, Mr. Jatin Mavani, booked a flat in the “Rising City – Atlanta Heights” project developed by Rare Township Pvt. Ltd. After experiencing a delay in possession, he sought a refund along with interest. However, MahaRERA had previously passed an order in a similar matter filed by the Rising City Ghatkopar Association, of which Mavani was a member. That earlier order had already directed the promoter to execute sale agreements with the allottees, including the complainant. MahaRERA held that since the issues raised in this complaint had already been adjudicated upon, the matter was barred by the principle of res judicata. The Authority dismissed the complaint as not maintainable, stating that the complainant could not file a separate proceeding on the same cause of action that had already been decided.</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10.  Sanjeev Dhakar v. M/s Arkade Realty [MahaRERA Complaint No.  CC006000000001135]</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complainant, Mr. Sanjeev Dhakar, was an allottee in a completed project developed by Arkade Realty. He alleged that although he had paid for a parking space, the builder sold that open parking area separately to others, thereby denying him his rightful parking. The Authority held during the hearing that Arkade Realty must permit Mr. Dhakar to park in the compound wall area, aligning with the treatment of other allottees. It further found that selling open parking space violates RERA rules, as such amenity must be handed over to the legal entity of the allottees. The complaint was disposed of in favour of Mr. Dhakar, with the Authority directing compliance.</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11. Suresh V. Swamy v. L&amp;T Limited [MahaRERA Complaint No. CC006000000057656; 2018(4) ADJ 406]</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complainant, Mr. Suresh V. Swamy, booked a flat in the “Emerald Isle” project developed by L&amp;T Limited and alleged delayed possession despite full payment. The agreement for sale indicated a possession date of September 2017, but the builder received the occupancy certificate only in December 2018. The complainant approached MahaRERA seeking interest for the delay under Section 18 of the Real Estate (Regulation and Development) Act, 2016. MahaRERA held that the developer was liable to pay interest for the period of delay. It rejected the promoter’s defense based on a revised possession date declared at the time of registration and upheld that the original date mentioned in the sale agreement would prevail. The Authority further held that the arbitration clause in the agreement could not oust its jurisdiction. It also ruled that RERA provisions apply even if the agreement was signed under the Maharashtra Ownership Flats Act (MOFA), and that the right to interest under Section 18 is mandatory and non-waivable. The Authority directed L&amp;T to pay interest at 10.75% per annum (2% above the SBI MCLR) on the consideration amount from October 2017 until the date of actual possession, and also awarded litigation costs.</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12. Vinod Kumar Agarwal v. Jaipur Development Authority &amp; Jaipur Metro Rail Corporation Ltd.  [Rajasthan RERA Complaint No. RAJ-RERA-C-2020-3622]</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complainant, Mr. Vinod Kumar Agarwal, participated in an auction conducted by Jaipur Development Authority (JDA) for a plot under the RERA-registered “Metro Enclave” project, a joint venture with Jaipur Metro Rail Corporation Ltd. After paying 15% of the total consideration, the complainant was issued a demand notice for an additional 35%, without the execution of a registered agreement for sale. He challenged the demand as violative of RERA provisions. Rajasthan RERA held that under Section 13(1) of the Real Estate (Regulation and Development) Act, 2016, a promoter cannot demand more than 10% of the total sale price without first executing and registering an agreement for sale. Since no such agreement had been registered, the demand by JDA for 35% of the consideration was held to be illegal. The Authority directed JDA to execute the agreement before demanding further payments and to revise its auction and refund terms in compliance with RERA.</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13. Ashok Kumar Bagga v. Rajvinder Kaur [RFA 226/2020 &amp; CM Appl. 20247/2020]</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plaintiff, Rajvinder Kaur, filed a suit for possession, recovery of arrears of rent, and mesne profits against the defendant, Ashok Kumar Bagga, in relation to a shop (No. 4) let out under a registered lease deed dated 8 January 2010. The lease stipulated a monthly rent of ₹13,000. After the lease expired, the defendant continued occupying the premises without renewal and claimed there was only an oral tenancy with a lower rent and a security deposit of ₹5 lakhs. The Delhi High Court held that the existence of the registered lease deed established the landlord-tenant relationship and refuted the defendant’s claim of an oral tenancy. The Court observed that mere acceptance of rent post-expiry did not renew the lease under Section 116 of the Transfer of Property Act in the absence of an agreement to renew. It also found that the termination notice served by the plaintiff was valid and effective. The defendant’s version was dismissed as evasive and unsupported by evidence. Accordingly, the Court upheld the trial court’s decree directing the defendant to hand over possession of the premises, pay arrears of rent and mesne profits, and awarded costs of ₹50,000 to the plaintiff.</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14. Balwant Singh @ Bant Singh &amp; Anr. v. Sudarshan Kumar &amp; Anr. [Civil Appeal Nos. 231–232 of 2021, Supreme Court of India]</w:t>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appellants, Balwant Singh and another, both Non-Resident Indians (NRIs), filed for eviction of their tenants under Section 13B of the East Punjab Urban Rent Restriction Act, 1949. This provision provides a special remedy for NRIs to recover possession of premises for their bona fide personal use. The Rent Controller allowed the eviction, accepting the landlords’ claim as genuine. However, the High Court later allowed the tenants to contest the matter, stating that the landlords had not disclosed previous eviction proceedings and already had vacant adjoining shops. The Supreme Court reversed the High Court’s order and reinstated the decision of the Rent Controller. It held that Section 13B permits NRIs to reclaim their property without prolonged litigation, and previous cases filed under a different section did not impact the current proceedings. The Court further noted that the mere availability of other vacant shops did not discredit the landlords’ need for the premises. Since the tenants failed to demonstrate any substantial reason to resist eviction, the Court ruled in favor of the landlords and directed the tenants to vacate the shops by 31 December 2021.</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15. 21. S. R. Venkatesh v. R. Jayakumar [Madras HC, C.R.P. No. 3031 of 2022]</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In this case, the landlord, R. Jayakumar, filed for eviction of tenant S. R. Venkatesh under Section 36 of the Tamil Nadu Regulation of Rights and Responsibilities of Landlords and Tenants Act, seeking summary eviction due to lack of a written lease agreement. The parties had agreed orally on rent of ₹4,500 per month for a 400 sq ft commercial space but did not reduce the arrangement to writing even after the Act's commencement. The Madras High Court held that failure to register or execute a written tenancy agreement within the timeframe set out by Section 4(2) of the Tamil Nadu Act entitled either party to seek eviction under Section 36. The Court emphasized that such summary proceedings are permissible when no formal lease has been executed post-enactment of the legislation. Thus, the eviction petition, based solely on non-compliance with statutory procedure, was rightly allowed. The Court concluded that in the absence of a written lease, even continued payment of rent does not prevent eviction, and the Rent Court's order for eviction was upheld.”</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are the important links and resources?”</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“1. About CREDAI </w:t>
      </w:r>
      <w:hyperlink r:id="rId21">
        <w:r w:rsidDel="00000000" w:rsidR="00000000" w:rsidRPr="00000000">
          <w:rPr>
            <w:rFonts w:ascii="Times New Roman" w:cs="Times New Roman" w:eastAsia="Times New Roman" w:hAnsi="Times New Roman"/>
            <w:color w:val="1155cc"/>
            <w:sz w:val="24"/>
            <w:szCs w:val="24"/>
            <w:u w:val="single"/>
            <w:rtl w:val="0"/>
          </w:rPr>
          <w:t xml:space="preserve">https://credai.org/abouts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Real Estate FAQs </w:t>
      </w:r>
      <w:hyperlink r:id="rId22">
        <w:r w:rsidDel="00000000" w:rsidR="00000000" w:rsidRPr="00000000">
          <w:rPr>
            <w:rFonts w:ascii="Times New Roman" w:cs="Times New Roman" w:eastAsia="Times New Roman" w:hAnsi="Times New Roman"/>
            <w:color w:val="1155cc"/>
            <w:sz w:val="24"/>
            <w:szCs w:val="24"/>
            <w:u w:val="single"/>
            <w:rtl w:val="0"/>
          </w:rPr>
          <w:t xml:space="preserve">https://consumerhelpline.gov.in/faq-details.php?fid=Real%20Estate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Forum for Collective People’s Efforts- </w:t>
      </w:r>
      <w:hyperlink r:id="rId23">
        <w:r w:rsidDel="00000000" w:rsidR="00000000" w:rsidRPr="00000000">
          <w:rPr>
            <w:rFonts w:ascii="Roboto" w:cs="Roboto" w:eastAsia="Roboto" w:hAnsi="Roboto"/>
            <w:color w:val="0b57d0"/>
            <w:sz w:val="21"/>
            <w:szCs w:val="21"/>
            <w:highlight w:val="white"/>
            <w:rtl w:val="0"/>
          </w:rPr>
          <w:t xml:space="preserve">https://www.fpce.in/</w:t>
        </w:r>
      </w:hyperlink>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RERA related news- </w:t>
      </w:r>
      <w:hyperlink r:id="rId24">
        <w:r w:rsidDel="00000000" w:rsidR="00000000" w:rsidRPr="00000000">
          <w:rPr>
            <w:rFonts w:ascii="Times New Roman" w:cs="Times New Roman" w:eastAsia="Times New Roman" w:hAnsi="Times New Roman"/>
            <w:color w:val="1155cc"/>
            <w:sz w:val="24"/>
            <w:szCs w:val="24"/>
            <w:u w:val="single"/>
            <w:rtl w:val="0"/>
          </w:rPr>
          <w:t xml:space="preserve">Latest news and RERA Updates | RERA.News</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Question: “What are the documents that I need to check before buying a property?”</w:t>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“Check for proper conveyance of Title in favour of the builder.</w:t>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license/development right/approvals of the builder.</w:t>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clear and marketable title of the project.</w:t>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execution of proper Allotment Letter/Sale Agreements on your payments.</w:t>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whether reputed financial companies approve the project. This will help you in getting financial loans.</w:t>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tentative layout/building plan and verify the plinth area of the apartment. It is advisable to check the carpet area of the apartment and find out if the difference between plinth area and carpet area is reasonable.</w:t>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for Occupation/Completion Certificate.</w:t>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Conveyance Deed is registered after the entire payment has been made.</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buying a property you need to check Deed of Conveyance, Mutation Certificate (for complete property), Land Registration Status, Sanction Plan, Search Report and Payment Schedule (for under construction). It is a must that you go through all the documents relating to the origin of the property, chain of Title, Occupancy Certificate, sanctions from various authorities dealing with building plans, fire safety and Completion Certificate.</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re-sale property, check demand notice relating to renovation, tax dues and latest receipts of payments made towards various out-goings such as water, electricity and ground rent.”</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Question: “How can verify if real estate project is RERA registered?”</w:t>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“Visit the official RERA website of the respective state or union territory where the project is located.</w:t>
        <w:br w:type="textWrapping"/>
        <w:t xml:space="preserve">Look for the section labeled “Registered Projects” or “Project Search.”</w:t>
        <w:br w:type="textWrapping"/>
        <w:t xml:space="preserve">Enter details such as the project name, promoter/developer name, or registration number (if available).</w:t>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the search request to view the registration details.</w:t>
        <w:br w:type="textWrapping"/>
        <w:t xml:space="preserve">Review the information provided, including registration number, validity, approvals, project status, and documents uploaded by the builder.</w:t>
        <w:br w:type="textWrapping"/>
        <w:t xml:space="preserve">Cross-check if the details match what the developer has shared with you. If the project is not found, it may not be registered and should be approached with caution.”</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Question: “What is an encumbrance certificate?”</w:t>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“An encumbrance certificate is a legal document that tells you whether a property has any pending dues, loans, or legal issues attached to it. When you are buying a property, this certificate helps you confirm that the property is clear and has not been used as security for any loan or involved in a dispute during a specific period.</w:t>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basically shows the history of the property like who owned it before and if there were any transactions such as sale or mortgage. If the certificate says "nil encumbrance," it means there are no outstanding claims or issues, and the property is safe to buy. This certificate is usually issued by the Sub-Registrar’s office where the property is registered.”</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Question: “What is an occupancy certificate?”</w:t>
      </w:r>
    </w:p>
    <w:p w:rsidR="00000000" w:rsidDel="00000000" w:rsidP="00000000" w:rsidRDefault="00000000" w:rsidRPr="00000000" w14:paraId="000000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“An occupancy certificate is a legal document issued by the local municipal authority that confirms a building has been constructed according to approved plans and is safe to live in. It is usually given after the completion of construction and after inspections by officials to check for compliance with building codes, fire safety, environmental norms, and other regulations. For a real estate buyer, this certificate is important because it legally allows you to occupy the property. Without it, the building is considered unauthorized, and you may face issues with getting utilities like water, electricity, or even legal ownership in some cases.”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Question: “What is a completion certificate?”</w:t>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 completion certificate is a document issued by the local development or municipal authority after the construction of a building is finished. It confirms that the building has been constructed as per the approved building plan, local laws, and safety norms. For a homebuyer, this certificate is important because it proves that the construction is legally complete and compliant. It is also required before applying for an occupancy certificate or getting services like water, electricity, and property registration. Without a completion certificate, the building may be considered unauthorized.”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the difference between Built-up Area, Super Built-up Area and Carpet Area?”</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“Carpet Area is the area of the apartment that does not include the area of the walls i.e. the area of the apartment that a carpet can cover. Built-Up Area is the area of the apartment that includes the area covered by the walls. Super Built-Up Area includes the built-up areas such as the lobby, lifts, stairs etc. This term is therefore only applicable for multi-dwelling units, such as flat complexes.”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the difference between the Lease, Leave, and the License agreement?”</w:t>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 Lease, defined under Section 105 of The Transfer of Property Act, 1882, is a transfer of the right to enjoy the concerned property for a pre-defined time period or in perpetuity. The lesser (owner of the property) gives the lessee (the one leasing the property) such consideration periodically, usually at the beginning or end of a lease agreement. License is defined in Section 52 of the Indian Easements Act, 1882. License does not allow any interest in the premises on the licensee's part. It merely gives the licensee the right to use and occupy the premises for a limited duration. A lease deed needs to be stamped and registered. The amount payable towards the lease deed's stamp duty is more than that payable towards the Leave and License's. For a period exceeding three years, the stamp duty is same for both agreements.”</w:t>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Question: “What are the implications of entering into a lease agreement?”</w:t>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“There are various implications of entering into a lease agreement such as you have to pay the stamp duty, the lease agreement has to be registered etc. Who does a group of tenants of a old building approach to be able to form a society without the concerned landlord's permission? You can approach the Registrar of Co-Operative Societies and file the various relevant documents.”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Roboto" w:cs="Roboto" w:eastAsia="Roboto" w:hAnsi="Roboto"/>
          <w:color w:val="444746"/>
          <w:sz w:val="21"/>
          <w:szCs w:val="21"/>
          <w:rtl w:val="0"/>
        </w:rPr>
        <w:t xml:space="preserve">What is the difference between freehold and leasehold property?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 freehold property flat is one where there is a whole and sole owner/s, ownership is full and unconditional and there is no lessor. A freehold property flat is one where there is a whole and sole owner/s, ownership is full and unconditional and there is no lessor / lessee involved. On the other hand, a leasehold property means you have the right to use the property for a fixed number of years, commonly 30, 60, or 99 years but the land itself is owned by a government authority or landlord. While you can sell or transfer the leasehold interest, you may need approval from the landowner, and renewing the lease or converting it to freehold might involve extra costs or conditions.”</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Question: “What is power of attorney in real sector sector?”</w:t>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 real estate, a Power of Attorney (PoA) is a legal document that allows one person (the principal) to authorize another person (the agent or attorney-in-fact) to act on their behalf in property-related matters. This can include buying or selling property, executing sale or lease agreements, managing or renting property and representing the principal before authorities or registrars</w:t>
        <w:br w:type="textWrapping"/>
        <w:t xml:space="preserve">There are two main types: general PoA that has broad powers over multiple transactions and special PoA which is limited to a specific act or transaction. While commonly used when the principal is unavailable (e.g., living abroad), it's important to note that PoA is not a substitute for a sale deed. In most cases, property transfer must be done through a registered sale deed, not just a PoA.”</w:t>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“Who is liable to pay Stamp Duty-the buyer or the seller?”</w:t>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buyer is liable to pay the stamp duty.”</w:t>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Question: “What is meant by the market value of the property and is Stamp Duty payable on the market value of the property or on consideration as stated in the agreement?”</w:t>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“Market value of property is the price at which there is a willing buyer and a seller agreeing to the transfer the property at an arms length transaction. Stamp duty is levied on the ready reckoner rate or the agreement price, whichever is higher.”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“Who is the appropriate authority for knowing the market value of the property?”</w:t>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“It is ideal to get the valuation done by a certified valuer for the house as per the ongoing rates. The property valuation reports can be obtained from the architects or a certified valuation expert.”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action can I take against a builder who is delaying possession?”</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first course of action should always be to issue a letter in writing to the builder stating your grievance. Ensure that all assurances by the builder of giving you possession on such and such date are given to you in writing on the letterhead and under the seal of the builder. If it appears that the builder will not be giving you possession in an acceptable time period then you may approach CREDAI for mediation.”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CREDAI?”</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Confederation of Real Estate Developers' Association of India (CREDAI) is an association formed by developers and builders in India for self-regulating the business of real estate development. CREDAI has more than 8500 member developers and builders through 112 member associations with representation in all the major cities and states of the country. CREDAI has its office at #703, Ansal Bhawan, Street 16, Kasturba Gandhi Marg, New Delhi, Delhi 110001.”</w:t>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your recourse in case of a delayed project?”</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“First and foremost, buyers should scrutinize the project and the background of the developer. If possible, they must hire a real estate consultancy firm who has market expertise and is known for unbiased consulting. In addition, an investor has the right to ask for the copies of approvals of the project, if not buying during a soft launch stage. You must ask for detailed construction schedules and negotiate for penalty clause in case of delay of project. Refunds can be claimed if a project is delayed beyond the period stipulated in the Builder Buyer Agreement by filing a case in the consumer court.”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spacing w:after="0" w:before="0" w:line="360" w:lineRule="auto"/>
        <w:rPr>
          <w:rFonts w:ascii="Times New Roman" w:cs="Times New Roman" w:eastAsia="Times New Roman" w:hAnsi="Times New Roman"/>
          <w:b w:val="1"/>
          <w:sz w:val="24"/>
          <w:szCs w:val="24"/>
        </w:rPr>
      </w:pPr>
      <w:bookmarkStart w:colFirst="0" w:colLast="0" w:name="_heading=h.1fob9te" w:id="1"/>
      <w:bookmarkEnd w:id="1"/>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rchive.org/details/nationalbuilding01/nationalbuilding01/" TargetMode="External"/><Relationship Id="rId11" Type="http://schemas.openxmlformats.org/officeDocument/2006/relationships/hyperlink" Target="https://legislative.gov.in/sites/default/files/A2016-16_0.pdf" TargetMode="External"/><Relationship Id="rId22" Type="http://schemas.openxmlformats.org/officeDocument/2006/relationships/hyperlink" Target="https://consumerhelpline.gov.in/faq-details.php?fid=Real%20Estate" TargetMode="External"/><Relationship Id="rId10" Type="http://schemas.openxmlformats.org/officeDocument/2006/relationships/hyperlink" Target="https://aiforera.in/statewise-rera" TargetMode="External"/><Relationship Id="rId21" Type="http://schemas.openxmlformats.org/officeDocument/2006/relationships/hyperlink" Target="https://credai.org/abouts" TargetMode="External"/><Relationship Id="rId13" Type="http://schemas.openxmlformats.org/officeDocument/2006/relationships/hyperlink" Target="https://www.indiacode.nic.in/bitstream/123456789/13205/1/the_indian_stamp_act%2C_1899.pdf" TargetMode="External"/><Relationship Id="rId24" Type="http://schemas.openxmlformats.org/officeDocument/2006/relationships/hyperlink" Target="https://rera.news/" TargetMode="External"/><Relationship Id="rId12" Type="http://schemas.openxmlformats.org/officeDocument/2006/relationships/hyperlink" Target="https://www.indiacode.nic.in/bitstream/123456789/2338/1/A1882-04.pdf" TargetMode="External"/><Relationship Id="rId23" Type="http://schemas.openxmlformats.org/officeDocument/2006/relationships/hyperlink" Target="https://www.fpce.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umerhelpline.gov.in/" TargetMode="External"/><Relationship Id="rId15" Type="http://schemas.openxmlformats.org/officeDocument/2006/relationships/hyperlink" Target="https://www.indiacode.nic.in/bitstream/123456789/2187/2/A187209.pdf" TargetMode="External"/><Relationship Id="rId14" Type="http://schemas.openxmlformats.org/officeDocument/2006/relationships/hyperlink" Target="https://www.indiacode.nic.in/bitstream/123456789/15937/1/the_registration_act%2C1908.pdf" TargetMode="External"/><Relationship Id="rId17" Type="http://schemas.openxmlformats.org/officeDocument/2006/relationships/hyperlink" Target="https://www.indiacode.nic.in/bitstream/123456789/1988/1/A1999_42.pdf" TargetMode="External"/><Relationship Id="rId16" Type="http://schemas.openxmlformats.org/officeDocument/2006/relationships/hyperlink" Target="https://www.indiacode.nic.in/bitstream/123456789/2385/1/a1925-39.pdf" TargetMode="External"/><Relationship Id="rId5" Type="http://schemas.openxmlformats.org/officeDocument/2006/relationships/styles" Target="styles.xml"/><Relationship Id="rId19" Type="http://schemas.openxmlformats.org/officeDocument/2006/relationships/hyperlink" Target="https://mohua.gov.in/upload/uploadfiles/files/12%20Mizo.pdf" TargetMode="External"/><Relationship Id="rId6" Type="http://schemas.openxmlformats.org/officeDocument/2006/relationships/customXml" Target="../customXML/item1.xml"/><Relationship Id="rId18" Type="http://schemas.openxmlformats.org/officeDocument/2006/relationships/hyperlink" Target="https://www.indiacode.nic.in/bitstream/123456789/2121/1/A2013-30.pdf" TargetMode="External"/><Relationship Id="rId7" Type="http://schemas.openxmlformats.org/officeDocument/2006/relationships/hyperlink" Target="https://rera.karnataka.gov.in/resources/staticpage/complaint%20usermanual.pdf" TargetMode="External"/><Relationship Id="rId8" Type="http://schemas.openxmlformats.org/officeDocument/2006/relationships/hyperlink" Target="https://credai.org/register-your-complai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Z/QRoQZvDlDpMcohKDz51L/7Sg==">CgMxLjAyCGguZ2pkZ3hzMgloLjFmb2I5dGU4AHIhMUdjNER0aWo5YVlGM2ZaMEFiLXNmdVYzekM0dXJ2b05G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