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p14:paraId="66376016" wp14:textId="4C93107A"/>
    <w:p xmlns:wp14="http://schemas.microsoft.com/office/word/2010/wordml" w:rsidP="074FAC97" wp14:paraId="4209CA86" wp14:textId="334C1F86">
      <w:pPr>
        <w:pStyle w:val="Heading2"/>
        <w:spacing w:before="299" w:beforeAutospacing="off" w:after="299" w:afterAutospacing="off"/>
      </w:pPr>
      <w:r w:rsidRPr="074FAC97" w:rsidR="473678B2">
        <w:rPr>
          <w:b w:val="1"/>
          <w:bCs w:val="1"/>
          <w:noProof w:val="0"/>
          <w:sz w:val="36"/>
          <w:szCs w:val="36"/>
          <w:lang w:val="en-US"/>
        </w:rPr>
        <w:t>Introduction</w:t>
      </w:r>
    </w:p>
    <w:p xmlns:wp14="http://schemas.microsoft.com/office/word/2010/wordml" w:rsidP="074FAC97" wp14:paraId="7CA7F2EF" wp14:textId="77C791E0">
      <w:pPr>
        <w:spacing w:before="240" w:beforeAutospacing="off" w:after="240" w:afterAutospacing="off"/>
      </w:pPr>
      <w:r w:rsidRPr="074FAC97" w:rsidR="473678B2">
        <w:rPr>
          <w:noProof w:val="0"/>
          <w:lang w:val="en-US"/>
        </w:rPr>
        <w:t xml:space="preserve">The </w:t>
      </w:r>
      <w:r w:rsidRPr="074FAC97" w:rsidR="473678B2">
        <w:rPr>
          <w:b w:val="1"/>
          <w:bCs w:val="1"/>
          <w:noProof w:val="0"/>
          <w:lang w:val="en-US"/>
        </w:rPr>
        <w:t>Data Foundations Documentation</w:t>
      </w:r>
      <w:r w:rsidRPr="074FAC97" w:rsidR="473678B2">
        <w:rPr>
          <w:noProof w:val="0"/>
          <w:lang w:val="en-US"/>
        </w:rPr>
        <w:t xml:space="preserve"> is the central reference point for all datasets, tools, and processes managed by the Data Foundations team. It provides structured details on dataset architecture, scheduling, ownership, and business use cases, making it easier for teams to access reliable and consistent information.</w:t>
      </w:r>
    </w:p>
    <w:p xmlns:wp14="http://schemas.microsoft.com/office/word/2010/wordml" w:rsidP="074FAC97" wp14:paraId="38D8DFCD" wp14:textId="00BF7E76">
      <w:pPr>
        <w:spacing w:before="240" w:beforeAutospacing="off" w:after="240" w:afterAutospacing="off"/>
      </w:pPr>
      <w:r w:rsidRPr="074FAC97" w:rsidR="473678B2">
        <w:rPr>
          <w:noProof w:val="0"/>
          <w:lang w:val="en-US"/>
        </w:rPr>
        <w:t xml:space="preserve">This documentation covers both </w:t>
      </w:r>
      <w:r w:rsidRPr="074FAC97" w:rsidR="473678B2">
        <w:rPr>
          <w:b w:val="1"/>
          <w:bCs w:val="1"/>
          <w:noProof w:val="0"/>
          <w:lang w:val="en-US"/>
        </w:rPr>
        <w:t>On-Platform</w:t>
      </w:r>
      <w:r w:rsidRPr="074FAC97" w:rsidR="473678B2">
        <w:rPr>
          <w:noProof w:val="0"/>
          <w:lang w:val="en-US"/>
        </w:rPr>
        <w:t xml:space="preserve"> and </w:t>
      </w:r>
      <w:r w:rsidRPr="074FAC97" w:rsidR="473678B2">
        <w:rPr>
          <w:b w:val="1"/>
          <w:bCs w:val="1"/>
          <w:noProof w:val="0"/>
          <w:lang w:val="en-US"/>
        </w:rPr>
        <w:t>Off-Platform</w:t>
      </w:r>
      <w:r w:rsidRPr="074FAC97" w:rsidR="473678B2">
        <w:rPr>
          <w:noProof w:val="0"/>
          <w:lang w:val="en-US"/>
        </w:rPr>
        <w:t xml:space="preserve"> datasets and systems. Over time, it will expand into a single source of truth for data reliability, governance, and usage across the organization.</w:t>
      </w:r>
    </w:p>
    <w:p xmlns:wp14="http://schemas.microsoft.com/office/word/2010/wordml" wp14:paraId="638AEE87" wp14:textId="07797DC9"/>
    <w:p xmlns:wp14="http://schemas.microsoft.com/office/word/2010/wordml" w:rsidP="074FAC97" wp14:paraId="15075276" wp14:textId="139DF9B4">
      <w:pPr>
        <w:pStyle w:val="Heading3"/>
        <w:spacing w:before="281" w:beforeAutospacing="off" w:after="281" w:afterAutospacing="off"/>
      </w:pPr>
      <w:r w:rsidRPr="074FAC97" w:rsidR="473678B2">
        <w:rPr>
          <w:b w:val="1"/>
          <w:bCs w:val="1"/>
          <w:noProof w:val="0"/>
          <w:sz w:val="28"/>
          <w:szCs w:val="28"/>
          <w:lang w:val="en-US"/>
        </w:rPr>
        <w:t>Scope of Documentation</w:t>
      </w:r>
    </w:p>
    <w:tbl>
      <w:tblPr>
        <w:tblStyle w:val="TableNormal"/>
        <w:bidiVisual w:val="0"/>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2502"/>
        <w:gridCol w:w="3013"/>
      </w:tblGrid>
      <w:tr w:rsidR="074FAC97" w:rsidTr="074FAC97" w14:paraId="625E7B27">
        <w:trPr>
          <w:trHeight w:val="300"/>
        </w:trPr>
        <w:tc>
          <w:tcPr>
            <w:tcW w:w="2502" w:type="dxa"/>
            <w:tcMar/>
            <w:vAlign w:val="center"/>
          </w:tcPr>
          <w:p w:rsidR="074FAC97" w:rsidP="074FAC97" w:rsidRDefault="074FAC97" w14:paraId="78BC744E" w14:textId="69EC87CD">
            <w:pPr>
              <w:spacing w:before="0" w:beforeAutospacing="off" w:after="0" w:afterAutospacing="off"/>
              <w:jc w:val="center"/>
            </w:pPr>
            <w:r w:rsidRPr="074FAC97" w:rsidR="074FAC97">
              <w:rPr>
                <w:b w:val="1"/>
                <w:bCs w:val="1"/>
              </w:rPr>
              <w:t>Off-Platform Sources</w:t>
            </w:r>
          </w:p>
        </w:tc>
        <w:tc>
          <w:tcPr>
            <w:tcW w:w="3013" w:type="dxa"/>
            <w:tcMar/>
            <w:vAlign w:val="center"/>
          </w:tcPr>
          <w:p w:rsidR="074FAC97" w:rsidP="074FAC97" w:rsidRDefault="074FAC97" w14:paraId="3FEBED96" w14:textId="3DDE88AC">
            <w:pPr>
              <w:spacing w:before="0" w:beforeAutospacing="off" w:after="0" w:afterAutospacing="off"/>
              <w:jc w:val="center"/>
            </w:pPr>
            <w:r w:rsidRPr="074FAC97" w:rsidR="074FAC97">
              <w:rPr>
                <w:b w:val="1"/>
                <w:bCs w:val="1"/>
              </w:rPr>
              <w:t>On-Platform Sources</w:t>
            </w:r>
          </w:p>
        </w:tc>
      </w:tr>
      <w:tr w:rsidR="074FAC97" w:rsidTr="074FAC97" w14:paraId="24E611AB">
        <w:trPr>
          <w:trHeight w:val="300"/>
        </w:trPr>
        <w:tc>
          <w:tcPr>
            <w:tcW w:w="2502" w:type="dxa"/>
            <w:tcMar/>
            <w:vAlign w:val="center"/>
          </w:tcPr>
          <w:p w:rsidR="074FAC97" w:rsidP="074FAC97" w:rsidRDefault="074FAC97" w14:paraId="7E64968B" w14:textId="76040A70">
            <w:pPr>
              <w:spacing w:before="0" w:beforeAutospacing="off" w:after="0" w:afterAutospacing="off"/>
            </w:pPr>
            <w:r w:rsidR="074FAC97">
              <w:rPr/>
              <w:t>Campaign Manager</w:t>
            </w:r>
          </w:p>
        </w:tc>
        <w:tc>
          <w:tcPr>
            <w:tcW w:w="3013" w:type="dxa"/>
            <w:tcMar/>
            <w:vAlign w:val="center"/>
          </w:tcPr>
          <w:p w:rsidR="074FAC97" w:rsidP="074FAC97" w:rsidRDefault="074FAC97" w14:paraId="3A98A939" w14:textId="375D7BE9">
            <w:pPr>
              <w:spacing w:before="0" w:beforeAutospacing="off" w:after="0" w:afterAutospacing="off"/>
            </w:pPr>
            <w:r w:rsidR="074FAC97">
              <w:rPr/>
              <w:t>CMP / Cerebro</w:t>
            </w:r>
          </w:p>
        </w:tc>
      </w:tr>
      <w:tr w:rsidR="074FAC97" w:rsidTr="074FAC97" w14:paraId="398305FF">
        <w:trPr>
          <w:trHeight w:val="300"/>
        </w:trPr>
        <w:tc>
          <w:tcPr>
            <w:tcW w:w="2502" w:type="dxa"/>
            <w:tcMar/>
            <w:vAlign w:val="center"/>
          </w:tcPr>
          <w:p w:rsidR="074FAC97" w:rsidP="074FAC97" w:rsidRDefault="074FAC97" w14:paraId="6AFEFE77" w14:textId="2D642BEF">
            <w:pPr>
              <w:spacing w:before="0" w:beforeAutospacing="off" w:after="0" w:afterAutospacing="off"/>
            </w:pPr>
            <w:r w:rsidR="074FAC97">
              <w:rPr/>
              <w:t>Pinterest</w:t>
            </w:r>
          </w:p>
        </w:tc>
        <w:tc>
          <w:tcPr>
            <w:tcW w:w="3013" w:type="dxa"/>
            <w:tcMar/>
            <w:vAlign w:val="center"/>
          </w:tcPr>
          <w:p w:rsidR="074FAC97" w:rsidP="074FAC97" w:rsidRDefault="074FAC97" w14:paraId="769F8A99" w14:textId="35093ABA">
            <w:pPr>
              <w:spacing w:before="0" w:beforeAutospacing="off" w:after="0" w:afterAutospacing="off"/>
            </w:pPr>
            <w:r w:rsidR="074FAC97">
              <w:rPr/>
              <w:t>CAP</w:t>
            </w:r>
          </w:p>
        </w:tc>
      </w:tr>
      <w:tr w:rsidR="074FAC97" w:rsidTr="074FAC97" w14:paraId="5C586782">
        <w:trPr>
          <w:trHeight w:val="300"/>
        </w:trPr>
        <w:tc>
          <w:tcPr>
            <w:tcW w:w="2502" w:type="dxa"/>
            <w:tcMar/>
            <w:vAlign w:val="center"/>
          </w:tcPr>
          <w:p w:rsidR="074FAC97" w:rsidP="074FAC97" w:rsidRDefault="074FAC97" w14:paraId="239181DF" w14:textId="6900D6AF">
            <w:pPr>
              <w:spacing w:before="0" w:beforeAutospacing="off" w:after="0" w:afterAutospacing="off"/>
            </w:pPr>
            <w:r w:rsidR="074FAC97">
              <w:rPr/>
              <w:t>Meta</w:t>
            </w:r>
          </w:p>
        </w:tc>
        <w:tc>
          <w:tcPr>
            <w:tcW w:w="3013" w:type="dxa"/>
            <w:tcMar/>
            <w:vAlign w:val="center"/>
          </w:tcPr>
          <w:p w:rsidR="074FAC97" w:rsidP="074FAC97" w:rsidRDefault="074FAC97" w14:paraId="3ACD5189" w14:textId="2E61DC86">
            <w:pPr>
              <w:spacing w:before="0" w:beforeAutospacing="off" w:after="0" w:afterAutospacing="off"/>
            </w:pPr>
            <w:r w:rsidR="074FAC97">
              <w:rPr/>
              <w:t>GAM</w:t>
            </w:r>
          </w:p>
        </w:tc>
      </w:tr>
      <w:tr w:rsidR="074FAC97" w:rsidTr="074FAC97" w14:paraId="2E8E2C97">
        <w:trPr>
          <w:trHeight w:val="300"/>
        </w:trPr>
        <w:tc>
          <w:tcPr>
            <w:tcW w:w="2502" w:type="dxa"/>
            <w:tcMar/>
            <w:vAlign w:val="center"/>
          </w:tcPr>
          <w:p w:rsidR="074FAC97" w:rsidP="074FAC97" w:rsidRDefault="074FAC97" w14:paraId="5B5520CA" w14:textId="3807D5F1">
            <w:pPr>
              <w:spacing w:before="0" w:beforeAutospacing="off" w:after="0" w:afterAutospacing="off"/>
            </w:pPr>
            <w:r w:rsidR="074FAC97">
              <w:rPr/>
              <w:t>DoubleVerify</w:t>
            </w:r>
          </w:p>
        </w:tc>
        <w:tc>
          <w:tcPr>
            <w:tcW w:w="3013" w:type="dxa"/>
            <w:tcMar/>
            <w:vAlign w:val="center"/>
          </w:tcPr>
          <w:p w:rsidR="074FAC97" w:rsidP="074FAC97" w:rsidRDefault="074FAC97" w14:paraId="5F8A4154" w14:textId="4D70995D">
            <w:pPr>
              <w:spacing w:before="0" w:beforeAutospacing="off" w:after="0" w:afterAutospacing="off"/>
            </w:pPr>
            <w:r w:rsidR="074FAC97">
              <w:rPr/>
              <w:t>Salesforce</w:t>
            </w:r>
          </w:p>
        </w:tc>
      </w:tr>
      <w:tr w:rsidR="074FAC97" w:rsidTr="074FAC97" w14:paraId="3596CB8F">
        <w:trPr>
          <w:trHeight w:val="300"/>
        </w:trPr>
        <w:tc>
          <w:tcPr>
            <w:tcW w:w="2502" w:type="dxa"/>
            <w:tcMar/>
            <w:vAlign w:val="center"/>
          </w:tcPr>
          <w:p w:rsidR="074FAC97" w:rsidP="074FAC97" w:rsidRDefault="074FAC97" w14:paraId="7C5A9800" w14:textId="74EA939A">
            <w:pPr>
              <w:spacing w:before="0" w:beforeAutospacing="off" w:after="0" w:afterAutospacing="off"/>
            </w:pPr>
            <w:r w:rsidR="074FAC97">
              <w:rPr/>
              <w:t>Snapchat</w:t>
            </w:r>
          </w:p>
        </w:tc>
        <w:tc>
          <w:tcPr>
            <w:tcW w:w="3013" w:type="dxa"/>
            <w:tcMar/>
            <w:vAlign w:val="center"/>
          </w:tcPr>
          <w:p w:rsidR="074FAC97" w:rsidP="074FAC97" w:rsidRDefault="074FAC97" w14:paraId="49852CDB" w14:textId="786CA5A6">
            <w:pPr>
              <w:spacing w:before="0" w:beforeAutospacing="off" w:after="0" w:afterAutospacing="off"/>
            </w:pPr>
            <w:r w:rsidR="074FAC97">
              <w:rPr/>
              <w:t>Workfront</w:t>
            </w:r>
          </w:p>
        </w:tc>
      </w:tr>
      <w:tr w:rsidR="074FAC97" w:rsidTr="074FAC97" w14:paraId="3D6A704D">
        <w:trPr>
          <w:trHeight w:val="300"/>
        </w:trPr>
        <w:tc>
          <w:tcPr>
            <w:tcW w:w="2502" w:type="dxa"/>
            <w:tcMar/>
            <w:vAlign w:val="center"/>
          </w:tcPr>
          <w:p w:rsidR="074FAC97" w:rsidP="074FAC97" w:rsidRDefault="074FAC97" w14:paraId="17B54E35" w14:textId="216B39C1">
            <w:pPr>
              <w:spacing w:before="0" w:beforeAutospacing="off" w:after="0" w:afterAutospacing="off"/>
            </w:pPr>
            <w:r w:rsidR="074FAC97">
              <w:rPr/>
              <w:t>YouTube / Google Ads</w:t>
            </w:r>
          </w:p>
        </w:tc>
        <w:tc>
          <w:tcPr>
            <w:tcW w:w="3013" w:type="dxa"/>
            <w:tcMar/>
            <w:vAlign w:val="center"/>
          </w:tcPr>
          <w:p w:rsidR="074FAC97" w:rsidP="074FAC97" w:rsidRDefault="074FAC97" w14:paraId="1BD736C9" w14:textId="6269686C">
            <w:pPr>
              <w:spacing w:before="0" w:beforeAutospacing="off" w:after="0" w:afterAutospacing="off"/>
            </w:pPr>
            <w:r w:rsidR="074FAC97">
              <w:rPr/>
              <w:t>Criteo</w:t>
            </w:r>
          </w:p>
        </w:tc>
      </w:tr>
      <w:tr w:rsidR="074FAC97" w:rsidTr="074FAC97" w14:paraId="2E28DE4E">
        <w:trPr>
          <w:trHeight w:val="300"/>
        </w:trPr>
        <w:tc>
          <w:tcPr>
            <w:tcW w:w="2502" w:type="dxa"/>
            <w:tcMar/>
            <w:vAlign w:val="center"/>
          </w:tcPr>
          <w:p w:rsidR="074FAC97" w:rsidP="074FAC97" w:rsidRDefault="074FAC97" w14:paraId="3AD3A1B3" w14:textId="0E9B4786">
            <w:pPr>
              <w:spacing w:before="0" w:beforeAutospacing="off" w:after="0" w:afterAutospacing="off"/>
            </w:pPr>
            <w:r w:rsidR="074FAC97">
              <w:rPr/>
              <w:t>Impact Radius</w:t>
            </w:r>
          </w:p>
        </w:tc>
        <w:tc>
          <w:tcPr>
            <w:tcW w:w="3013" w:type="dxa"/>
            <w:tcMar/>
            <w:vAlign w:val="center"/>
          </w:tcPr>
          <w:p w:rsidR="074FAC97" w:rsidP="074FAC97" w:rsidRDefault="074FAC97" w14:paraId="485700C8" w14:textId="631DC518">
            <w:pPr>
              <w:spacing w:before="0" w:beforeAutospacing="off" w:after="0" w:afterAutospacing="off"/>
            </w:pPr>
            <w:r w:rsidR="074FAC97">
              <w:rPr/>
              <w:t>Citrus</w:t>
            </w:r>
          </w:p>
        </w:tc>
      </w:tr>
      <w:tr w:rsidR="074FAC97" w:rsidTr="074FAC97" w14:paraId="455B6DAC">
        <w:trPr>
          <w:trHeight w:val="300"/>
        </w:trPr>
        <w:tc>
          <w:tcPr>
            <w:tcW w:w="2502" w:type="dxa"/>
            <w:tcMar/>
            <w:vAlign w:val="center"/>
          </w:tcPr>
          <w:p w:rsidR="074FAC97" w:rsidP="074FAC97" w:rsidRDefault="074FAC97" w14:paraId="3ECD5D08" w14:textId="4C239EAF">
            <w:pPr>
              <w:spacing w:before="0" w:beforeAutospacing="off" w:after="0" w:afterAutospacing="off"/>
            </w:pPr>
            <w:r w:rsidR="074FAC97">
              <w:rPr/>
              <w:t>Xandr / TTD</w:t>
            </w:r>
          </w:p>
        </w:tc>
        <w:tc>
          <w:tcPr>
            <w:tcW w:w="3013" w:type="dxa"/>
            <w:tcMar/>
            <w:vAlign w:val="center"/>
          </w:tcPr>
          <w:p w:rsidR="074FAC97" w:rsidP="074FAC97" w:rsidRDefault="074FAC97" w14:paraId="13DB3F9F" w14:textId="44855439">
            <w:pPr>
              <w:spacing w:before="0" w:beforeAutospacing="off" w:after="0" w:afterAutospacing="off"/>
            </w:pPr>
            <w:r w:rsidR="074FAC97">
              <w:rPr/>
              <w:t>Campaign Aggregate Tables</w:t>
            </w:r>
          </w:p>
        </w:tc>
      </w:tr>
      <w:tr w:rsidR="074FAC97" w:rsidTr="074FAC97" w14:paraId="4855D246">
        <w:trPr>
          <w:trHeight w:val="300"/>
        </w:trPr>
        <w:tc>
          <w:tcPr>
            <w:tcW w:w="2502" w:type="dxa"/>
            <w:tcMar/>
            <w:vAlign w:val="center"/>
          </w:tcPr>
          <w:p w:rsidR="074FAC97" w:rsidP="074FAC97" w:rsidRDefault="074FAC97" w14:paraId="1DF0F873" w14:textId="7BD26C2D">
            <w:pPr>
              <w:spacing w:before="0" w:beforeAutospacing="off" w:after="0" w:afterAutospacing="off"/>
            </w:pPr>
            <w:r w:rsidR="074FAC97">
              <w:rPr/>
              <w:t>Innovid</w:t>
            </w:r>
          </w:p>
        </w:tc>
        <w:tc>
          <w:tcPr>
            <w:tcW w:w="3013" w:type="dxa"/>
            <w:tcMar/>
            <w:vAlign w:val="center"/>
          </w:tcPr>
          <w:p w:rsidR="074FAC97" w:rsidP="074FAC97" w:rsidRDefault="074FAC97" w14:paraId="500830A7" w14:textId="5AFC872A">
            <w:pPr>
              <w:spacing w:before="0" w:beforeAutospacing="off" w:after="0" w:afterAutospacing="off"/>
            </w:pPr>
            <w:r w:rsidR="074FAC97">
              <w:rPr/>
              <w:t>Rubix</w:t>
            </w:r>
          </w:p>
        </w:tc>
      </w:tr>
      <w:tr w:rsidR="074FAC97" w:rsidTr="074FAC97" w14:paraId="745D22F2">
        <w:trPr>
          <w:trHeight w:val="300"/>
        </w:trPr>
        <w:tc>
          <w:tcPr>
            <w:tcW w:w="2502" w:type="dxa"/>
            <w:tcMar/>
            <w:vAlign w:val="center"/>
          </w:tcPr>
          <w:p w:rsidR="074FAC97" w:rsidP="074FAC97" w:rsidRDefault="074FAC97" w14:paraId="5C4F3E38" w14:textId="3C530BE3">
            <w:pPr>
              <w:spacing w:before="0" w:beforeAutospacing="off" w:after="0" w:afterAutospacing="off"/>
            </w:pPr>
            <w:r w:rsidR="074FAC97">
              <w:rPr/>
              <w:t>Google Search</w:t>
            </w:r>
          </w:p>
        </w:tc>
        <w:tc>
          <w:tcPr>
            <w:tcW w:w="3013" w:type="dxa"/>
            <w:tcMar/>
            <w:vAlign w:val="center"/>
          </w:tcPr>
          <w:p w:rsidR="074FAC97" w:rsidP="074FAC97" w:rsidRDefault="074FAC97" w14:paraId="06FAFE47" w14:textId="3774D5F3">
            <w:pPr>
              <w:spacing w:before="0" w:beforeAutospacing="off" w:after="0" w:afterAutospacing="off"/>
            </w:pPr>
            <w:r w:rsidR="074FAC97">
              <w:rPr/>
              <w:t>Store Presentation / Signage</w:t>
            </w:r>
          </w:p>
        </w:tc>
      </w:tr>
      <w:tr w:rsidR="074FAC97" w:rsidTr="074FAC97" w14:paraId="35FE8E14">
        <w:trPr>
          <w:trHeight w:val="300"/>
        </w:trPr>
        <w:tc>
          <w:tcPr>
            <w:tcW w:w="2502" w:type="dxa"/>
            <w:tcMar/>
            <w:vAlign w:val="center"/>
          </w:tcPr>
          <w:p w:rsidR="074FAC97" w:rsidP="074FAC97" w:rsidRDefault="074FAC97" w14:paraId="13485B76" w14:textId="3F031592">
            <w:pPr>
              <w:spacing w:before="0" w:beforeAutospacing="off" w:after="0" w:afterAutospacing="off"/>
            </w:pPr>
            <w:r w:rsidR="074FAC97">
              <w:rPr/>
              <w:t>Skai</w:t>
            </w:r>
          </w:p>
        </w:tc>
        <w:tc>
          <w:tcPr>
            <w:tcW w:w="3013" w:type="dxa"/>
            <w:tcMar/>
            <w:vAlign w:val="center"/>
          </w:tcPr>
          <w:p w:rsidR="074FAC97" w:rsidP="074FAC97" w:rsidRDefault="074FAC97" w14:paraId="7DB4EF70" w14:textId="22C884C1">
            <w:pPr>
              <w:spacing w:before="0" w:beforeAutospacing="off" w:after="0" w:afterAutospacing="off"/>
            </w:pPr>
            <w:r w:rsidR="074FAC97">
              <w:rPr/>
              <w:t>Instore / ServiceHub</w:t>
            </w:r>
          </w:p>
        </w:tc>
      </w:tr>
      <w:tr w:rsidR="074FAC97" w:rsidTr="074FAC97" w14:paraId="19D649B1">
        <w:trPr>
          <w:trHeight w:val="300"/>
        </w:trPr>
        <w:tc>
          <w:tcPr>
            <w:tcW w:w="2502" w:type="dxa"/>
            <w:tcMar/>
            <w:vAlign w:val="center"/>
          </w:tcPr>
          <w:p w:rsidR="074FAC97" w:rsidP="074FAC97" w:rsidRDefault="074FAC97" w14:paraId="67C63C7C" w14:textId="6277A7FA">
            <w:pPr>
              <w:spacing w:before="0" w:beforeAutospacing="off" w:after="0" w:afterAutospacing="off"/>
            </w:pPr>
            <w:r w:rsidR="074FAC97">
              <w:rPr/>
              <w:t>TikTok</w:t>
            </w:r>
          </w:p>
        </w:tc>
        <w:tc>
          <w:tcPr>
            <w:tcW w:w="3013" w:type="dxa"/>
            <w:tcMar/>
            <w:vAlign w:val="center"/>
          </w:tcPr>
          <w:p w:rsidR="074FAC97" w:rsidP="074FAC97" w:rsidRDefault="074FAC97" w14:paraId="5B67F9D9" w14:textId="628DC72B">
            <w:pPr>
              <w:spacing w:before="0" w:beforeAutospacing="off" w:after="0" w:afterAutospacing="off"/>
            </w:pPr>
            <w:r w:rsidR="074FAC97">
              <w:rPr/>
              <w:t>–</w:t>
            </w:r>
          </w:p>
        </w:tc>
      </w:tr>
    </w:tbl>
    <w:p xmlns:wp14="http://schemas.microsoft.com/office/word/2010/wordml" wp14:paraId="23873865" wp14:textId="58661433"/>
    <w:p xmlns:wp14="http://schemas.microsoft.com/office/word/2010/wordml" w:rsidP="074FAC97" wp14:paraId="2C078E63" wp14:textId="20CCDB90">
      <w:pPr>
        <w:pStyle w:val="Normal"/>
        <w:rPr>
          <w:noProof w:val="0"/>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3e6be8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CCEA74F"/>
    <w:rsid w:val="074FAC97"/>
    <w:rsid w:val="3CCEA74F"/>
    <w:rsid w:val="3D0BB610"/>
    <w:rsid w:val="473678B2"/>
    <w:rsid w:val="660E1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EA74F"/>
  <w15:chartTrackingRefBased/>
  <w15:docId w15:val="{1A1B787F-348D-4A85-9D94-80AF3F3310B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uiPriority w:val="34"/>
    <w:name w:val="List Paragraph"/>
    <w:basedOn w:val="Normal"/>
    <w:qFormat/>
    <w:rsid w:val="074FAC97"/>
    <w:pPr>
      <w:spacing/>
      <w:ind w:left="720"/>
      <w:contextualSpacing/>
    </w:pPr>
  </w:style>
  <w:style w:type="paragraph" w:styleId="Heading3">
    <w:uiPriority w:val="9"/>
    <w:name w:val="heading 3"/>
    <w:basedOn w:val="Normal"/>
    <w:next w:val="Normal"/>
    <w:unhideWhenUsed/>
    <w:qFormat/>
    <w:rsid w:val="074FAC97"/>
    <w:rPr>
      <w:rFonts w:eastAsia="" w:cs="" w:eastAsiaTheme="majorEastAsia" w:cstheme="majorBidi"/>
      <w:color w:val="0F4761" w:themeColor="accent1" w:themeTint="FF" w:themeShade="BF"/>
      <w:sz w:val="28"/>
      <w:szCs w:val="28"/>
    </w:rPr>
    <w:pPr>
      <w:keepNext w:val="1"/>
      <w:keepLines w:val="1"/>
      <w:spacing w:before="160" w:after="80"/>
      <w:outlineLvl w:val="2"/>
    </w:pPr>
  </w:style>
  <w:style w:type="paragraph" w:styleId="Heading2">
    <w:uiPriority w:val="9"/>
    <w:name w:val="heading 2"/>
    <w:basedOn w:val="Normal"/>
    <w:next w:val="Normal"/>
    <w:unhideWhenUsed/>
    <w:qFormat/>
    <w:rsid w:val="074FAC97"/>
    <w:rPr>
      <w:rFonts w:ascii="Aptos Display" w:hAnsi="Aptos Display" w:eastAsia="" w:cs="" w:asciiTheme="majorAscii" w:hAnsiTheme="majorAscii" w:eastAsiaTheme="majorEastAsia" w:cstheme="majorBidi"/>
      <w:color w:val="0F4761" w:themeColor="accent1" w:themeTint="FF" w:themeShade="BF"/>
      <w:sz w:val="32"/>
      <w:szCs w:val="32"/>
    </w:rPr>
    <w:pPr>
      <w:keepNext w:val="1"/>
      <w:keepLines w:val="1"/>
      <w:spacing w:before="160" w:after="80"/>
      <w:outlineLvl w:val="1"/>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051016f721f34db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2025-09-03T07:10:59.6270006Z</dcterms:created>
  <dcterms:modified xsi:type="dcterms:W3CDTF">2025-09-03T07:15:44.0698743Z</dcterms:modified>
  <dc:creator>Shreya.Roy1</dc:creator>
  <lastModifiedBy>Shreya.Roy1</lastModifiedBy>
</coreProperties>
</file>