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2026-08-02 16:17:40</w:t>
      </w:r>
    </w:p>
    <w:p>
      <w:r>
        <w:t>Total Papers: 5</w:t>
      </w:r>
    </w:p>
    <w:p>
      <w:pPr>
        <w:pStyle w:val="Heading2"/>
      </w:pPr>
      <w:r>
        <w:t>Executive Summary</w:t>
      </w:r>
    </w:p>
    <w:p>
      <w:r>
        <w:t>This report presents an academic analysis of 'Agentic AI' covering literature review, methodology comparison, research gaps, citation analysis and future work.</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a comprehensive survey of architectures, applications, and future directions', 'year': 2025, 'summary': 'Agentic AI represents a transformative shift in artificial intelligence, but its rapid advancement has led to a fragmented understanding, often conflating modern neural systems with outdated symbolic models—a practice known as conceptual retrofitting. This survey cuts through this confusion by introducing a novel dual-paradigm framework that categorizes agentic systems into two distinct lineages: the symbolic/classical (relying on algorithmic planning and persistent state) and the neural/generative (leveraging stochastic generation and prompt-driven orchestration). Through a systematic PRISMA-based review of 90 studies (2018–2025), we provide a comprehensive analysis structured around this framework across three dimensions: (1) the theoretical foundations and architectural principles defining each paradigm; (2) domain-specific implementations in healthcare, finance, and robotics, demonstrating how application constraints dictate paradigm selection; and (3) paradigm-specific ethical and governance challenges, revealing divergent risks and mitigation strategies. Our analysis reveals that the choice of paradigm is strategic: symbolic systems dominate safety-critical domains (e.g., healthcare), while neural systems prevail in adaptive, data-rich environments (e.g., finance). Furthermore, we identify critical research gaps, including a significant deficit in governance models for symbolic systems and a pressing need for hybrid neuro-symbolic architectures. The findings culminate in a strategic roadmap arguing that the future of Agentic AI lies not in the dominance'}]</w:t>
      </w:r>
    </w:p>
    <w:p>
      <w:pPr>
        <w:pStyle w:val="Heading3"/>
      </w:pPr>
      <w:r>
        <w:t>Research Trends</w:t>
      </w:r>
    </w:p>
    <w:p>
      <w:r>
        <w:t>['ability', 'adaptability', 'advancement', 'agent', 'agentic', 'analysis', 'application', 'artificial', 'autonomous', 'autonomy', 'between', 'beyond', 'challenge', 'complex', 'conceptual', 'conflating', 'critically', 'designed', 'distinguishe', 'emerged', 'exhibiting', 'focusing', 'fragmented', 'generative', 'goal-driven', 'goals', 'goes', 'hold', 'human', 'important', 'intelligence', 'intervention', 'language', 'large', 'llms', 'mapping', 'minimal', 'model', 'modern', 'near-human', 'neural', 'offering', 'often', 'opportunity', 'performance', 'praised', 'pursue', 'range', 'rapid', 'reasoning', 'recently', 'refer', 'represent', 'review', 'shift', 'structured', 'system', 'tasks', 'taxonomy', 'traditional', 'transformative', 'understanding', 'unlike',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'The findings culminate in a strategic roadmap arguing that the future of Agentic AI lies not in the dominance',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'The findings culminate in a strategic roadmap arguing that the future of Agentic AI lies not in the dominance',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632, 'lowest': 123,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Researcher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