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2026-08-02 16:20:47</w:t>
      </w:r>
    </w:p>
    <w:p>
      <w:r>
        <w:t>Total Papers: 5</w:t>
      </w:r>
    </w:p>
    <w:p>
      <w:pPr>
        <w:pStyle w:val="Heading2"/>
      </w:pPr>
      <w:r>
        <w:t>Executive Summary</w:t>
      </w:r>
    </w:p>
    <w:p>
      <w:r>
        <w:t>This report presents an academic analysis of 'Agentic AI' covering literature review, methodology comparison, research gaps, citation analysis and future work.</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a comprehensive survey of architectures, applications, and future directions', 'year': 2025, 'summary': 'Agentic AI represents a transformative shift in artificial intelligence, but its rapid advancement has led to a fragmented understanding, often conflating modern neural systems with outdated symbolic models—a practice known as conceptual retrofitting. This survey cuts through this confusion by introducing a novel dual-paradigm framework that categorizes agentic systems into two distinct lineages: the symbolic/classical (relying on algorithmic planning and persistent state) and the neural/generative (leveraging stochastic generation and prompt-driven orchestration). Through a systematic PRISMA-based review of 90 studies (2018–2025), we provide a comprehensive analysis structured around this framework across three dimensions: (1) the theoretical foundations and architectural principles defining each paradigm; (2) domain-specific implementations in healthcare, finance, and robotics, demonstrating how application constraints dictate paradigm selection; and (3) paradigm-specific ethical and governance challenges, revealing divergent risks and mitigation strategies. Our analysis reveals that the choice of paradigm is strategic: symbolic systems dominate safety-critical domains (e.g., healthcare), while neural systems prevail in adaptive, data-rich environments (e.g., finance). Furthermore, we identify critical research gaps, including a significant deficit in governance models for symbolic systems and a pressing need for hybrid neuro-symbolic architectures. The findings culminate in a strategic roadmap arguing that the future of Agentic AI lies not in the dominance'}]</w:t>
      </w:r>
    </w:p>
    <w:p>
      <w:pPr>
        <w:pStyle w:val="Heading3"/>
      </w:pPr>
      <w:r>
        <w:t>Research Trends</w:t>
      </w:r>
    </w:p>
    <w:p>
      <w:r>
        <w:t>['ability', 'adaptability', 'advancement', 'agent', 'agentic', 'analysis', 'application', 'artificial', 'autonomous', 'autonomy', 'between', 'beyond', 'challenge', 'complex', 'conceptual', 'conflating', 'critically', 'designed', 'distinguishe', 'emerged', 'exhibiting', 'focusing', 'fragmented', 'generative', 'goal-driven', 'goals', 'goes', 'hold', 'human', 'important', 'intelligence', 'intervention', 'language', 'large', 'llms', 'mapping', 'minimal', 'model', 'modern', 'near-human', 'neural', 'offering', 'often', 'opportunity', 'performance', 'praised', 'pursue', 'range', 'rapid', 'reasoning', 'recently', 'refer', 'represent', 'review', 'shift', 'structured', 'system', 'tasks', 'taxonomy', 'traditional', 'transformative', 'understanding', 'unlike', 'valued', 'wide']</w:t>
      </w:r>
    </w:p>
    <w:p>
      <w:pPr>
        <w:pStyle w:val="Heading3"/>
      </w:pPr>
      <w:r>
        <w:t>Research Gaps</w:t>
      </w:r>
    </w:p>
    <w:p>
      <w:r>
        <w:t>['Here we lay out the position that small language models (SLMs) are sufficiently powerful, inherently more suitable, and necessarily more economical for many invocations in agentic systems, and are therefore the future of agentic AI', 'The findings culminate in a strategic roadmap arguing that the future of Agentic AI lies not in the dominance', 'We outline a framework for safely and effectively integrating Agentic AI into society, highlighting the need for further research on ethical considerations to ensure beneficial societal impacts']</w:t>
      </w:r>
    </w:p>
    <w:p>
      <w:pPr>
        <w:pStyle w:val="Heading3"/>
      </w:pPr>
      <w:r>
        <w:t>Future Scope</w:t>
      </w:r>
    </w:p>
    <w:p>
      <w:r>
        <w:t>['Here we lay out the position that small language models (SLMs) are sufficiently powerful, inherently more suitable, and necessarily more economical for many invocations in agentic systems, and are therefore the future of agentic AI', 'The findings culminate in a strategic roadmap arguing that the future of Agentic AI lies not in the dominance',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632, 'lowest': 123, 'average': 337.4, 'total': 1687}</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Researcher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