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231C" w14:textId="3F3B6F21" w:rsidR="003F4F12" w:rsidRDefault="00A673B6">
      <w:pPr>
        <w:pStyle w:val="Heading1"/>
      </w:pPr>
      <w:r>
        <w:t>What all to know from</w:t>
      </w:r>
      <w:r w:rsidR="00000000">
        <w:t xml:space="preserve"> Experimental Design and Sequencing Choices </w:t>
      </w:r>
      <w:r>
        <w:t>to start with</w:t>
      </w:r>
      <w:r w:rsidR="00000000">
        <w:t xml:space="preserve"> Bulk RNA-seq Analysis</w:t>
      </w:r>
    </w:p>
    <w:p w14:paraId="6C08C16F" w14:textId="77777777" w:rsidR="003F4F12" w:rsidRDefault="003F4F12"/>
    <w:p w14:paraId="2325319A" w14:textId="662322F2" w:rsidR="003F4F12" w:rsidRDefault="00000000">
      <w:r>
        <w:t>Good bioinformatics cannot rescue poor design, but good design enables robust, interpretable analysis.</w:t>
      </w:r>
    </w:p>
    <w:p w14:paraId="64ECAE45" w14:textId="77777777" w:rsidR="003F4F12" w:rsidRDefault="003F4F12"/>
    <w:p w14:paraId="66E67849" w14:textId="77777777" w:rsidR="003F4F12" w:rsidRPr="00A673B6" w:rsidRDefault="00000000">
      <w:pPr>
        <w:rPr>
          <w:b/>
          <w:bCs/>
        </w:rPr>
      </w:pPr>
      <w:r w:rsidRPr="00A673B6">
        <w:rPr>
          <w:b/>
          <w:bCs/>
        </w:rPr>
        <w:t>1. Experimental Design: the foundation of valid analysis</w:t>
      </w:r>
    </w:p>
    <w:p w14:paraId="32A185F3" w14:textId="77777777" w:rsidR="003F4F12" w:rsidRPr="00A673B6" w:rsidRDefault="003F4F12">
      <w:pPr>
        <w:rPr>
          <w:b/>
          <w:bCs/>
        </w:rPr>
      </w:pPr>
    </w:p>
    <w:p w14:paraId="799C97A9" w14:textId="77777777" w:rsidR="003F4F12" w:rsidRDefault="00000000">
      <w:r w:rsidRPr="00A673B6">
        <w:rPr>
          <w:highlight w:val="yellow"/>
        </w:rPr>
        <w:t>Biological replicates</w:t>
      </w:r>
    </w:p>
    <w:p w14:paraId="5F7DC519" w14:textId="77777777" w:rsidR="00A673B6" w:rsidRDefault="00000000">
      <w:r>
        <w:t xml:space="preserve">Biological replicates capture natural biological variability and are essential for estimating variance. In bulk RNA-seq, a minimum of three biological replicates per condition is required to perform statistically valid differential expression (DE) analysis. </w:t>
      </w:r>
    </w:p>
    <w:p w14:paraId="07732D2D" w14:textId="090204F8" w:rsidR="003F4F12" w:rsidRDefault="00A673B6">
      <w:r>
        <w:t>F</w:t>
      </w:r>
      <w:r w:rsidR="00000000">
        <w:t>ewer replicate</w:t>
      </w:r>
      <w:r>
        <w:t xml:space="preserve">s </w:t>
      </w:r>
      <w:r>
        <w:sym w:font="Wingdings" w:char="F0E0"/>
      </w:r>
      <w:r>
        <w:t xml:space="preserve"> </w:t>
      </w:r>
      <w:r w:rsidR="00000000">
        <w:t xml:space="preserve"> dispersion cannot be estimated reliably, leading to unstable or meaningless p-values.</w:t>
      </w:r>
    </w:p>
    <w:p w14:paraId="6898D7B5" w14:textId="77777777" w:rsidR="003F4F12" w:rsidRDefault="003F4F12"/>
    <w:p w14:paraId="4A983C14" w14:textId="77777777" w:rsidR="003F4F12" w:rsidRPr="00A673B6" w:rsidRDefault="00000000">
      <w:pPr>
        <w:rPr>
          <w:i/>
          <w:iCs/>
        </w:rPr>
      </w:pPr>
      <w:r w:rsidRPr="00A673B6">
        <w:rPr>
          <w:i/>
          <w:iCs/>
        </w:rPr>
        <w:t>Bioinformatics impact</w:t>
      </w:r>
    </w:p>
    <w:p w14:paraId="4D45B8BC" w14:textId="3E8DD152" w:rsidR="003F4F12" w:rsidRDefault="00000000" w:rsidP="00A673B6">
      <w:pPr>
        <w:pStyle w:val="ListParagraph"/>
        <w:numPr>
          <w:ilvl w:val="0"/>
          <w:numId w:val="21"/>
        </w:numPr>
      </w:pPr>
      <w:r>
        <w:t>Determines statistical power</w:t>
      </w:r>
    </w:p>
    <w:p w14:paraId="06CCEC9A" w14:textId="29953201" w:rsidR="003F4F12" w:rsidRDefault="00000000" w:rsidP="00A673B6">
      <w:pPr>
        <w:pStyle w:val="ListParagraph"/>
        <w:numPr>
          <w:ilvl w:val="0"/>
          <w:numId w:val="21"/>
        </w:numPr>
      </w:pPr>
      <w:r>
        <w:t>Enables valid DE modeling (e.g. DESeq2, edgeR)</w:t>
      </w:r>
    </w:p>
    <w:p w14:paraId="7E9D7D6C" w14:textId="70EAA73B" w:rsidR="003F4F12" w:rsidRDefault="00000000" w:rsidP="00A673B6">
      <w:pPr>
        <w:pStyle w:val="ListParagraph"/>
        <w:numPr>
          <w:ilvl w:val="0"/>
          <w:numId w:val="21"/>
        </w:numPr>
      </w:pPr>
      <w:r>
        <w:t>Insufficient replicates → exploratory results only</w:t>
      </w:r>
    </w:p>
    <w:p w14:paraId="7AE1A240" w14:textId="77777777" w:rsidR="003F4F12" w:rsidRDefault="003F4F12"/>
    <w:p w14:paraId="3D1A6191" w14:textId="77777777" w:rsidR="003F4F12" w:rsidRDefault="00000000">
      <w:r w:rsidRPr="00A673B6">
        <w:rPr>
          <w:highlight w:val="yellow"/>
        </w:rPr>
        <w:t>Case–control vs time-series designs</w:t>
      </w:r>
    </w:p>
    <w:p w14:paraId="381DDC4E" w14:textId="77777777" w:rsidR="003F4F12" w:rsidRDefault="00000000">
      <w:r>
        <w:t>A case–control design compares discrete conditions (e.g. disease vs control), while a time-series design models expression changes across multiple time points. These designs require different statistical models and assumptions.</w:t>
      </w:r>
    </w:p>
    <w:p w14:paraId="6C997400" w14:textId="77777777" w:rsidR="003F4F12" w:rsidRDefault="003F4F12"/>
    <w:p w14:paraId="560411C5" w14:textId="77777777" w:rsidR="003F4F12" w:rsidRPr="00A673B6" w:rsidRDefault="00000000">
      <w:pPr>
        <w:rPr>
          <w:i/>
          <w:iCs/>
        </w:rPr>
      </w:pPr>
      <w:r w:rsidRPr="00A673B6">
        <w:rPr>
          <w:i/>
          <w:iCs/>
        </w:rPr>
        <w:t>Bioinformatics impact</w:t>
      </w:r>
    </w:p>
    <w:p w14:paraId="752A9073" w14:textId="325A75BA" w:rsidR="003F4F12" w:rsidRDefault="00000000" w:rsidP="00A673B6">
      <w:pPr>
        <w:pStyle w:val="ListParagraph"/>
        <w:numPr>
          <w:ilvl w:val="0"/>
          <w:numId w:val="19"/>
        </w:numPr>
      </w:pPr>
      <w:r>
        <w:t>Case–control: ~ condition</w:t>
      </w:r>
    </w:p>
    <w:p w14:paraId="7CF47C77" w14:textId="0EBC7AA9" w:rsidR="003F4F12" w:rsidRDefault="00000000" w:rsidP="00A673B6">
      <w:pPr>
        <w:pStyle w:val="ListParagraph"/>
        <w:numPr>
          <w:ilvl w:val="0"/>
          <w:numId w:val="19"/>
        </w:numPr>
      </w:pPr>
      <w:r>
        <w:t>Time-series: ~ time or ~ subject + time</w:t>
      </w:r>
    </w:p>
    <w:p w14:paraId="4A57E8A0" w14:textId="419BE585" w:rsidR="003F4F12" w:rsidRDefault="00000000" w:rsidP="00A673B6">
      <w:pPr>
        <w:pStyle w:val="ListParagraph"/>
        <w:numPr>
          <w:ilvl w:val="0"/>
          <w:numId w:val="19"/>
        </w:numPr>
      </w:pPr>
      <w:r>
        <w:t>Wrong model choice → incorrect conclusions</w:t>
      </w:r>
    </w:p>
    <w:p w14:paraId="298424A8" w14:textId="77777777" w:rsidR="003F4F12" w:rsidRDefault="003F4F12"/>
    <w:p w14:paraId="4D7F1566" w14:textId="77777777" w:rsidR="003F4F12" w:rsidRDefault="00000000">
      <w:r w:rsidRPr="00A673B6">
        <w:rPr>
          <w:highlight w:val="yellow"/>
        </w:rPr>
        <w:t>Batch design and randomization</w:t>
      </w:r>
    </w:p>
    <w:p w14:paraId="1F64D820" w14:textId="77777777" w:rsidR="003F4F12" w:rsidRDefault="00000000">
      <w:r>
        <w:t>A batch is a group of samples processed under the same technical conditions. Batch effects are unavoidable, but confounding is avoidable.</w:t>
      </w:r>
    </w:p>
    <w:p w14:paraId="7AC416F1" w14:textId="77777777" w:rsidR="003F4F12" w:rsidRDefault="003F4F12"/>
    <w:p w14:paraId="4FB11B27" w14:textId="77777777" w:rsidR="003F4F12" w:rsidRPr="00A673B6" w:rsidRDefault="00000000">
      <w:pPr>
        <w:rPr>
          <w:i/>
          <w:iCs/>
        </w:rPr>
      </w:pPr>
      <w:r w:rsidRPr="00A673B6">
        <w:rPr>
          <w:i/>
          <w:iCs/>
        </w:rPr>
        <w:t>Bioinformatics impact</w:t>
      </w:r>
    </w:p>
    <w:p w14:paraId="586B8DE5" w14:textId="7C1DD1A3" w:rsidR="003F4F12" w:rsidRDefault="00000000" w:rsidP="00A673B6">
      <w:pPr>
        <w:pStyle w:val="ListParagraph"/>
        <w:numPr>
          <w:ilvl w:val="0"/>
          <w:numId w:val="18"/>
        </w:numPr>
      </w:pPr>
      <w:r>
        <w:t xml:space="preserve">Balanced batches → </w:t>
      </w:r>
      <w:proofErr w:type="spellStart"/>
      <w:r>
        <w:t>modelable</w:t>
      </w:r>
      <w:proofErr w:type="spellEnd"/>
      <w:r>
        <w:t xml:space="preserve"> (~ batch + condition)</w:t>
      </w:r>
    </w:p>
    <w:p w14:paraId="312F6528" w14:textId="36CEAAEE" w:rsidR="003F4F12" w:rsidRDefault="00000000" w:rsidP="00A673B6">
      <w:pPr>
        <w:pStyle w:val="ListParagraph"/>
        <w:numPr>
          <w:ilvl w:val="0"/>
          <w:numId w:val="18"/>
        </w:numPr>
      </w:pPr>
      <w:r>
        <w:t>Batch = condition → no valid DE possible</w:t>
      </w:r>
    </w:p>
    <w:p w14:paraId="024876A4" w14:textId="612BCFF2" w:rsidR="003F4F12" w:rsidRDefault="00000000" w:rsidP="00A673B6">
      <w:pPr>
        <w:pStyle w:val="ListParagraph"/>
        <w:numPr>
          <w:ilvl w:val="0"/>
          <w:numId w:val="18"/>
        </w:numPr>
      </w:pPr>
      <w:r>
        <w:t>Batch effects dominate PCA if not handled correctly</w:t>
      </w:r>
      <w:r w:rsidR="00A673B6">
        <w:br/>
        <w:t xml:space="preserve">Bad PCA </w:t>
      </w:r>
      <w:r w:rsidR="00A673B6">
        <w:sym w:font="Wingdings" w:char="F0E0"/>
      </w:r>
      <w:r w:rsidR="00A673B6">
        <w:t xml:space="preserve"> where the clusters are by the bathes </w:t>
      </w:r>
      <w:proofErr w:type="spellStart"/>
      <w:r w:rsidR="00A673B6">
        <w:t>notconditions</w:t>
      </w:r>
      <w:proofErr w:type="spellEnd"/>
    </w:p>
    <w:p w14:paraId="30FC3384" w14:textId="77777777" w:rsidR="003F4F12" w:rsidRDefault="003F4F12"/>
    <w:p w14:paraId="565122CD" w14:textId="1B7A2DD6" w:rsidR="003F4F12" w:rsidRPr="00A673B6" w:rsidRDefault="00000000">
      <w:pPr>
        <w:rPr>
          <w:b/>
          <w:bCs/>
        </w:rPr>
      </w:pPr>
      <w:r>
        <w:t>2</w:t>
      </w:r>
      <w:r w:rsidRPr="00A673B6">
        <w:rPr>
          <w:b/>
          <w:bCs/>
        </w:rPr>
        <w:t xml:space="preserve">. RNA selection strategy: what transcriptome </w:t>
      </w:r>
      <w:r w:rsidR="00A673B6">
        <w:rPr>
          <w:b/>
          <w:bCs/>
        </w:rPr>
        <w:t>needs to be</w:t>
      </w:r>
      <w:r w:rsidRPr="00A673B6">
        <w:rPr>
          <w:b/>
          <w:bCs/>
        </w:rPr>
        <w:t xml:space="preserve"> see</w:t>
      </w:r>
      <w:r w:rsidR="00A673B6">
        <w:rPr>
          <w:b/>
          <w:bCs/>
        </w:rPr>
        <w:t>n</w:t>
      </w:r>
    </w:p>
    <w:p w14:paraId="01B0E6C5" w14:textId="77777777" w:rsidR="003F4F12" w:rsidRDefault="003F4F12"/>
    <w:p w14:paraId="7A91D44D" w14:textId="77777777" w:rsidR="003F4F12" w:rsidRDefault="00000000">
      <w:r w:rsidRPr="00A673B6">
        <w:rPr>
          <w:highlight w:val="yellow"/>
        </w:rPr>
        <w:t>Poly(A) selection</w:t>
      </w:r>
    </w:p>
    <w:p w14:paraId="478A8BC8" w14:textId="77777777" w:rsidR="003F4F12" w:rsidRDefault="00000000">
      <w:r>
        <w:t xml:space="preserve">Enriches polyadenylated mRNA, producing a clean, </w:t>
      </w:r>
      <w:r w:rsidRPr="00A673B6">
        <w:rPr>
          <w:u w:val="single"/>
        </w:rPr>
        <w:t>protein-coding-focused</w:t>
      </w:r>
      <w:r>
        <w:t xml:space="preserve"> dataset. Requires good RNA quality.</w:t>
      </w:r>
    </w:p>
    <w:p w14:paraId="2921412A" w14:textId="77777777" w:rsidR="003F4F12" w:rsidRDefault="003F4F12"/>
    <w:p w14:paraId="7BCDA300" w14:textId="77777777" w:rsidR="003F4F12" w:rsidRDefault="00000000">
      <w:r w:rsidRPr="00A673B6">
        <w:rPr>
          <w:highlight w:val="yellow"/>
        </w:rPr>
        <w:t>rRNA depletion</w:t>
      </w:r>
    </w:p>
    <w:p w14:paraId="1AF3206D" w14:textId="77777777" w:rsidR="003F4F12" w:rsidRDefault="00000000">
      <w:r>
        <w:t>Removes ribosomal RNA while retaining coding and non-coding RNAs.</w:t>
      </w:r>
    </w:p>
    <w:p w14:paraId="7C2FBEF3" w14:textId="77777777" w:rsidR="003F4F12" w:rsidRDefault="003F4F12"/>
    <w:p w14:paraId="4EBD69CF" w14:textId="77777777" w:rsidR="003F4F12" w:rsidRPr="00A673B6" w:rsidRDefault="00000000">
      <w:pPr>
        <w:rPr>
          <w:b/>
          <w:bCs/>
        </w:rPr>
      </w:pPr>
      <w:r w:rsidRPr="00A673B6">
        <w:rPr>
          <w:b/>
          <w:bCs/>
        </w:rPr>
        <w:t>3. Library properties: structure matters</w:t>
      </w:r>
    </w:p>
    <w:p w14:paraId="53911C04" w14:textId="77777777" w:rsidR="003F4F12" w:rsidRDefault="003F4F12"/>
    <w:p w14:paraId="00EC9BED" w14:textId="77777777" w:rsidR="003F4F12" w:rsidRDefault="00000000">
      <w:r w:rsidRPr="00A673B6">
        <w:rPr>
          <w:highlight w:val="yellow"/>
        </w:rPr>
        <w:t>Strandedness</w:t>
      </w:r>
    </w:p>
    <w:p w14:paraId="102677BE" w14:textId="77777777" w:rsidR="003F4F12" w:rsidRDefault="00000000">
      <w:r>
        <w:t>Strandedness indicates whether reads retain information about the DNA strand of origin. Strandedness has no relation with paired or unpaired reads.</w:t>
      </w:r>
    </w:p>
    <w:p w14:paraId="2ECC60AF" w14:textId="77777777" w:rsidR="003F4F12" w:rsidRDefault="003F4F12"/>
    <w:p w14:paraId="71A5E270" w14:textId="77777777" w:rsidR="003F4F12" w:rsidRPr="00A673B6" w:rsidRDefault="00000000">
      <w:pPr>
        <w:rPr>
          <w:i/>
          <w:iCs/>
        </w:rPr>
      </w:pPr>
      <w:r w:rsidRPr="00A673B6">
        <w:rPr>
          <w:i/>
          <w:iCs/>
        </w:rPr>
        <w:t>Bioinformatics impact</w:t>
      </w:r>
    </w:p>
    <w:p w14:paraId="03ECE87A" w14:textId="2FC9DB60" w:rsidR="003F4F12" w:rsidRDefault="00000000" w:rsidP="00A673B6">
      <w:pPr>
        <w:pStyle w:val="ListParagraph"/>
        <w:numPr>
          <w:ilvl w:val="0"/>
          <w:numId w:val="14"/>
        </w:numPr>
      </w:pPr>
      <w:r>
        <w:t xml:space="preserve">Correct </w:t>
      </w:r>
      <w:proofErr w:type="spellStart"/>
      <w:r>
        <w:t>strandedness</w:t>
      </w:r>
      <w:proofErr w:type="spellEnd"/>
      <w:r>
        <w:t xml:space="preserve"> → accurate gene counts</w:t>
      </w:r>
    </w:p>
    <w:p w14:paraId="329F3CE7" w14:textId="1705CEB3" w:rsidR="003F4F12" w:rsidRDefault="00000000" w:rsidP="00A673B6">
      <w:pPr>
        <w:pStyle w:val="ListParagraph"/>
        <w:numPr>
          <w:ilvl w:val="0"/>
          <w:numId w:val="14"/>
        </w:numPr>
      </w:pPr>
      <w:r>
        <w:t xml:space="preserve">Wrong </w:t>
      </w:r>
      <w:proofErr w:type="spellStart"/>
      <w:r>
        <w:t>strandedness</w:t>
      </w:r>
      <w:proofErr w:type="spellEnd"/>
      <w:r>
        <w:t xml:space="preserve"> → silent misassignment and false DE</w:t>
      </w:r>
    </w:p>
    <w:p w14:paraId="21F046AE" w14:textId="77777777" w:rsidR="003F4F12" w:rsidRDefault="003F4F12"/>
    <w:p w14:paraId="19D4561B" w14:textId="77777777" w:rsidR="003F4F12" w:rsidRDefault="00000000">
      <w:r w:rsidRPr="00A673B6">
        <w:rPr>
          <w:highlight w:val="yellow"/>
        </w:rPr>
        <w:t>Paired-end vs single-end sequencing</w:t>
      </w:r>
    </w:p>
    <w:p w14:paraId="01F81BEF" w14:textId="77777777" w:rsidR="003F4F12" w:rsidRDefault="00000000">
      <w:r>
        <w:t>Paired-end sequencing reads both ends of a fragment, improving mapping accuracy and splice detection.</w:t>
      </w:r>
    </w:p>
    <w:p w14:paraId="2654564D" w14:textId="77777777" w:rsidR="003F4F12" w:rsidRDefault="003F4F12"/>
    <w:p w14:paraId="0C7F7D7A" w14:textId="77777777" w:rsidR="003F4F12" w:rsidRPr="00A673B6" w:rsidRDefault="00000000">
      <w:pPr>
        <w:rPr>
          <w:b/>
          <w:bCs/>
        </w:rPr>
      </w:pPr>
      <w:r w:rsidRPr="00A673B6">
        <w:rPr>
          <w:b/>
          <w:bCs/>
        </w:rPr>
        <w:t>4. Sequencing depth and platform choice</w:t>
      </w:r>
    </w:p>
    <w:p w14:paraId="11FD6FF7" w14:textId="77777777" w:rsidR="003F4F12" w:rsidRDefault="003F4F12"/>
    <w:p w14:paraId="52242748" w14:textId="6131756A" w:rsidR="00A673B6" w:rsidRDefault="00000000">
      <w:r>
        <w:t>Sequencing depth</w:t>
      </w:r>
      <w:r w:rsidR="00A673B6">
        <w:t xml:space="preserve"> </w:t>
      </w:r>
      <w:proofErr w:type="gramStart"/>
      <w:r w:rsidR="00A673B6">
        <w:t xml:space="preserve">-  </w:t>
      </w:r>
      <w:r>
        <w:t>the</w:t>
      </w:r>
      <w:proofErr w:type="gramEnd"/>
      <w:r>
        <w:t xml:space="preserve"> number of reads per sample.</w:t>
      </w:r>
      <w:r w:rsidR="00A673B6">
        <w:br/>
        <w:t>The more &gt;&gt; better is the detection of genes/transcripts</w:t>
      </w:r>
    </w:p>
    <w:p w14:paraId="366E41CC" w14:textId="77777777" w:rsidR="003F4F12" w:rsidRDefault="003F4F12"/>
    <w:p w14:paraId="3EDF073A" w14:textId="77777777" w:rsidR="003F4F12" w:rsidRPr="00A673B6" w:rsidRDefault="00000000">
      <w:pPr>
        <w:rPr>
          <w:i/>
          <w:iCs/>
        </w:rPr>
      </w:pPr>
      <w:r w:rsidRPr="00A673B6">
        <w:rPr>
          <w:i/>
          <w:iCs/>
        </w:rPr>
        <w:t>Bioinformatics impact</w:t>
      </w:r>
    </w:p>
    <w:p w14:paraId="0D2506ED" w14:textId="5AA7A2F6" w:rsidR="003F4F12" w:rsidRDefault="00000000" w:rsidP="00A673B6">
      <w:pPr>
        <w:pStyle w:val="ListParagraph"/>
        <w:numPr>
          <w:ilvl w:val="0"/>
          <w:numId w:val="10"/>
        </w:numPr>
      </w:pPr>
      <w:r>
        <w:t>Low depth → noisy PCA, false negatives</w:t>
      </w:r>
    </w:p>
    <w:p w14:paraId="6087772E" w14:textId="1E8256FA" w:rsidR="003F4F12" w:rsidRDefault="00000000" w:rsidP="00A673B6">
      <w:pPr>
        <w:pStyle w:val="ListParagraph"/>
        <w:numPr>
          <w:ilvl w:val="0"/>
          <w:numId w:val="10"/>
        </w:numPr>
      </w:pPr>
      <w:r>
        <w:t>Uneven depth → biased variance estimation</w:t>
      </w:r>
    </w:p>
    <w:p w14:paraId="47F40BAF" w14:textId="77777777" w:rsidR="003F4F12" w:rsidRDefault="003F4F12"/>
    <w:p w14:paraId="78710898" w14:textId="434EE13A" w:rsidR="003F4F12" w:rsidRPr="00A673B6" w:rsidRDefault="00000000">
      <w:pPr>
        <w:rPr>
          <w:b/>
          <w:bCs/>
        </w:rPr>
      </w:pPr>
      <w:r w:rsidRPr="00A673B6">
        <w:rPr>
          <w:b/>
          <w:bCs/>
        </w:rPr>
        <w:t>5. Controls and spike</w:t>
      </w:r>
      <w:r w:rsidR="00A673B6">
        <w:rPr>
          <w:b/>
          <w:bCs/>
        </w:rPr>
        <w:t>-</w:t>
      </w:r>
      <w:r w:rsidRPr="00A673B6">
        <w:rPr>
          <w:b/>
          <w:bCs/>
        </w:rPr>
        <w:t>ins</w:t>
      </w:r>
    </w:p>
    <w:p w14:paraId="2363AF20" w14:textId="15213D6E" w:rsidR="003F4F12" w:rsidRDefault="00000000">
      <w:r>
        <w:t>Spike</w:t>
      </w:r>
      <w:r w:rsidR="00A673B6">
        <w:t>-</w:t>
      </w:r>
      <w:r>
        <w:t>ins are synthetic RNAs of known concentration added before library prep</w:t>
      </w:r>
      <w:r w:rsidR="00A673B6">
        <w:t xml:space="preserve"> – to know about technical </w:t>
      </w:r>
      <w:proofErr w:type="gramStart"/>
      <w:r w:rsidR="00A673B6">
        <w:t>variability(</w:t>
      </w:r>
      <w:proofErr w:type="gramEnd"/>
      <w:r w:rsidR="00A673B6">
        <w:t>no effect on biology)</w:t>
      </w:r>
    </w:p>
    <w:p w14:paraId="44A9B597" w14:textId="77777777" w:rsidR="00A673B6" w:rsidRDefault="00A673B6"/>
    <w:p w14:paraId="7CCFCD42" w14:textId="6572729F" w:rsidR="00A673B6" w:rsidRDefault="003B6F02">
      <w:r w:rsidRPr="003B6F02">
        <w:drawing>
          <wp:inline distT="0" distB="0" distL="0" distR="0" wp14:anchorId="72A43652" wp14:editId="0146B6C4">
            <wp:extent cx="5486400" cy="1711325"/>
            <wp:effectExtent l="19050" t="19050" r="19050" b="22225"/>
            <wp:docPr id="1655291" name="Picture 1" descr="A diagram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1" name="Picture 1" descr="A diagram of a softw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D2870" w14:textId="77777777" w:rsidR="00A673B6" w:rsidRDefault="00A673B6"/>
    <w:p w14:paraId="54452B7B" w14:textId="77777777" w:rsidR="00A673B6" w:rsidRDefault="00A673B6"/>
    <w:p w14:paraId="6BF95D4E" w14:textId="77777777" w:rsidR="00A673B6" w:rsidRDefault="00A673B6"/>
    <w:p w14:paraId="5CE0E097" w14:textId="77777777" w:rsidR="00A673B6" w:rsidRDefault="00A673B6"/>
    <w:p w14:paraId="7C193CFA" w14:textId="6E748B1D" w:rsidR="003F4F12" w:rsidRPr="00A673B6" w:rsidRDefault="00000000">
      <w:pPr>
        <w:rPr>
          <w:b/>
          <w:bCs/>
          <w:sz w:val="24"/>
          <w:szCs w:val="24"/>
        </w:rPr>
      </w:pPr>
      <w:r>
        <w:lastRenderedPageBreak/>
        <w:t xml:space="preserve"> </w:t>
      </w:r>
      <w:r w:rsidRPr="00A673B6">
        <w:rPr>
          <w:b/>
          <w:bCs/>
          <w:sz w:val="24"/>
          <w:szCs w:val="24"/>
        </w:rPr>
        <w:t>What bioinformaticians must always know before analysis</w:t>
      </w:r>
    </w:p>
    <w:p w14:paraId="6F4531C9" w14:textId="0BFE6502" w:rsidR="003F4F12" w:rsidRDefault="00000000" w:rsidP="00A673B6">
      <w:pPr>
        <w:pStyle w:val="ListParagraph"/>
        <w:numPr>
          <w:ilvl w:val="0"/>
          <w:numId w:val="15"/>
        </w:numPr>
      </w:pPr>
      <w:r>
        <w:t>Number of biological replicates</w:t>
      </w:r>
    </w:p>
    <w:p w14:paraId="4C93ECAC" w14:textId="6B25639D" w:rsidR="003F4F12" w:rsidRDefault="00000000" w:rsidP="00A673B6">
      <w:pPr>
        <w:pStyle w:val="ListParagraph"/>
        <w:numPr>
          <w:ilvl w:val="0"/>
          <w:numId w:val="15"/>
        </w:numPr>
      </w:pPr>
      <w:r>
        <w:t>Batch structure and randomization</w:t>
      </w:r>
    </w:p>
    <w:p w14:paraId="61EB57AD" w14:textId="6CF60E2C" w:rsidR="003F4F12" w:rsidRDefault="00000000" w:rsidP="00A673B6">
      <w:pPr>
        <w:pStyle w:val="ListParagraph"/>
        <w:numPr>
          <w:ilvl w:val="0"/>
          <w:numId w:val="15"/>
        </w:numPr>
      </w:pPr>
      <w:r>
        <w:t>RNA selection method</w:t>
      </w:r>
    </w:p>
    <w:p w14:paraId="1C8F75D8" w14:textId="39394D02" w:rsidR="003F4F12" w:rsidRDefault="00000000" w:rsidP="00A673B6">
      <w:pPr>
        <w:pStyle w:val="ListParagraph"/>
        <w:numPr>
          <w:ilvl w:val="0"/>
          <w:numId w:val="15"/>
        </w:numPr>
      </w:pPr>
      <w:r>
        <w:t>Strandedness and read layout</w:t>
      </w:r>
    </w:p>
    <w:p w14:paraId="46A8ABD2" w14:textId="45C60FE3" w:rsidR="003F4F12" w:rsidRDefault="00000000" w:rsidP="00A673B6">
      <w:pPr>
        <w:pStyle w:val="ListParagraph"/>
        <w:numPr>
          <w:ilvl w:val="0"/>
          <w:numId w:val="15"/>
        </w:numPr>
      </w:pPr>
      <w:r>
        <w:t>Sequencing depth and platform</w:t>
      </w:r>
    </w:p>
    <w:p w14:paraId="4FD474A6" w14:textId="3E575DAA" w:rsidR="003F4F12" w:rsidRDefault="00000000" w:rsidP="00A673B6">
      <w:pPr>
        <w:pStyle w:val="ListParagraph"/>
        <w:numPr>
          <w:ilvl w:val="0"/>
          <w:numId w:val="15"/>
        </w:numPr>
      </w:pPr>
      <w:r>
        <w:t>Whether spike</w:t>
      </w:r>
      <w:r w:rsidR="00A673B6">
        <w:t>-</w:t>
      </w:r>
      <w:r>
        <w:t>ins were used</w:t>
      </w:r>
    </w:p>
    <w:p w14:paraId="248BEA95" w14:textId="77777777" w:rsidR="003F4F12" w:rsidRDefault="003F4F12"/>
    <w:p w14:paraId="05F40232" w14:textId="77777777" w:rsidR="00A673B6" w:rsidRDefault="00A673B6"/>
    <w:p w14:paraId="4257B2A9" w14:textId="77777777" w:rsidR="00A673B6" w:rsidRDefault="00A673B6"/>
    <w:p w14:paraId="3508B9A5" w14:textId="77777777" w:rsidR="00A673B6" w:rsidRDefault="00A673B6"/>
    <w:p w14:paraId="278FECA4" w14:textId="77777777" w:rsidR="00A673B6" w:rsidRDefault="00A673B6"/>
    <w:p w14:paraId="66E1306D" w14:textId="77777777" w:rsidR="00A673B6" w:rsidRDefault="00A673B6"/>
    <w:p w14:paraId="245A360C" w14:textId="77777777" w:rsidR="00A673B6" w:rsidRDefault="00A673B6"/>
    <w:p w14:paraId="06E6166F" w14:textId="77777777" w:rsidR="00A673B6" w:rsidRDefault="00A673B6"/>
    <w:p w14:paraId="00C44341" w14:textId="77777777" w:rsidR="00A673B6" w:rsidRDefault="00A673B6"/>
    <w:p w14:paraId="2C96A3A0" w14:textId="77777777" w:rsidR="00A673B6" w:rsidRDefault="00A673B6"/>
    <w:p w14:paraId="26B32DA6" w14:textId="77777777" w:rsidR="003F4F12" w:rsidRDefault="00000000">
      <w:r>
        <w:t>References</w:t>
      </w:r>
    </w:p>
    <w:p w14:paraId="5A446464" w14:textId="322ACB91" w:rsidR="00A673B6" w:rsidRDefault="00A673B6" w:rsidP="00A673B6">
      <w:r>
        <w:t>1. Conesa et al., A survey of best practices for RNA-seq data analysis</w:t>
      </w:r>
      <w:r>
        <w:t xml:space="preserve">, </w:t>
      </w:r>
      <w:r>
        <w:t>Genome Biology, 2016.    [old but very fundamental]</w:t>
      </w:r>
    </w:p>
    <w:p w14:paraId="0CCC2CDE" w14:textId="1314C8E1" w:rsidR="00A673B6" w:rsidRDefault="00A673B6" w:rsidP="00A673B6">
      <w:r>
        <w:t xml:space="preserve">2. Schurch et al., </w:t>
      </w:r>
      <w:proofErr w:type="gramStart"/>
      <w:r>
        <w:t>How</w:t>
      </w:r>
      <w:proofErr w:type="gramEnd"/>
      <w:r>
        <w:t xml:space="preserve"> many biological replicates are needed in an RNA-seq </w:t>
      </w:r>
      <w:proofErr w:type="gramStart"/>
      <w:r>
        <w:t>experiment?,</w:t>
      </w:r>
      <w:proofErr w:type="gramEnd"/>
      <w:r>
        <w:t xml:space="preserve"> RNA, 2016.</w:t>
      </w:r>
    </w:p>
    <w:p w14:paraId="0FE200A4" w14:textId="74D88EED" w:rsidR="00A673B6" w:rsidRDefault="00A673B6" w:rsidP="00A673B6">
      <w:r>
        <w:t>3. Love et al., Moderated estimation of fold change and dispersion for RNA-seq data with DESeq2, Genome Biology, 2014.</w:t>
      </w:r>
    </w:p>
    <w:p w14:paraId="6C3F4BB2" w14:textId="4CEBB1A9" w:rsidR="00A673B6" w:rsidRDefault="00A673B6" w:rsidP="00A673B6">
      <w:r>
        <w:t>4. Risso et al., Normalization of RNA-seq data using factor analysis of control genes or samples</w:t>
      </w:r>
      <w:r>
        <w:t xml:space="preserve">, </w:t>
      </w:r>
      <w:r>
        <w:t>Nature Biotechnology, 2014.</w:t>
      </w:r>
    </w:p>
    <w:p w14:paraId="16A76380" w14:textId="1657B8C0" w:rsidR="003F4F12" w:rsidRDefault="00A673B6" w:rsidP="00A673B6">
      <w:r>
        <w:t>5. Illumina Technical Notes: Effects of index hopping and multiplexing on sequencing data.</w:t>
      </w:r>
    </w:p>
    <w:sectPr w:rsidR="003F4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B570D"/>
    <w:multiLevelType w:val="hybridMultilevel"/>
    <w:tmpl w:val="B9C44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9103C"/>
    <w:multiLevelType w:val="hybridMultilevel"/>
    <w:tmpl w:val="3EAA70F2"/>
    <w:lvl w:ilvl="0" w:tplc="28CCA5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45DE3"/>
    <w:multiLevelType w:val="hybridMultilevel"/>
    <w:tmpl w:val="06566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15407"/>
    <w:multiLevelType w:val="hybridMultilevel"/>
    <w:tmpl w:val="972A8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01CBE"/>
    <w:multiLevelType w:val="hybridMultilevel"/>
    <w:tmpl w:val="7CF8AB4A"/>
    <w:lvl w:ilvl="0" w:tplc="28CCA5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66F8B"/>
    <w:multiLevelType w:val="hybridMultilevel"/>
    <w:tmpl w:val="F24E3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A1569"/>
    <w:multiLevelType w:val="hybridMultilevel"/>
    <w:tmpl w:val="17268858"/>
    <w:lvl w:ilvl="0" w:tplc="28CCA5FC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426FFA"/>
    <w:multiLevelType w:val="hybridMultilevel"/>
    <w:tmpl w:val="50040F80"/>
    <w:lvl w:ilvl="0" w:tplc="28CCA5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90483"/>
    <w:multiLevelType w:val="hybridMultilevel"/>
    <w:tmpl w:val="196A3946"/>
    <w:lvl w:ilvl="0" w:tplc="28CCA5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10C06"/>
    <w:multiLevelType w:val="hybridMultilevel"/>
    <w:tmpl w:val="05E0B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2079C"/>
    <w:multiLevelType w:val="hybridMultilevel"/>
    <w:tmpl w:val="3CAA99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1401E1"/>
    <w:multiLevelType w:val="hybridMultilevel"/>
    <w:tmpl w:val="7D767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621726"/>
    <w:multiLevelType w:val="hybridMultilevel"/>
    <w:tmpl w:val="68A85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898803">
    <w:abstractNumId w:val="8"/>
  </w:num>
  <w:num w:numId="2" w16cid:durableId="445195690">
    <w:abstractNumId w:val="6"/>
  </w:num>
  <w:num w:numId="3" w16cid:durableId="1256816378">
    <w:abstractNumId w:val="5"/>
  </w:num>
  <w:num w:numId="4" w16cid:durableId="1362052509">
    <w:abstractNumId w:val="4"/>
  </w:num>
  <w:num w:numId="5" w16cid:durableId="41104632">
    <w:abstractNumId w:val="7"/>
  </w:num>
  <w:num w:numId="6" w16cid:durableId="1170756075">
    <w:abstractNumId w:val="3"/>
  </w:num>
  <w:num w:numId="7" w16cid:durableId="1777943805">
    <w:abstractNumId w:val="2"/>
  </w:num>
  <w:num w:numId="8" w16cid:durableId="599989361">
    <w:abstractNumId w:val="1"/>
  </w:num>
  <w:num w:numId="9" w16cid:durableId="12537275">
    <w:abstractNumId w:val="0"/>
  </w:num>
  <w:num w:numId="10" w16cid:durableId="922908650">
    <w:abstractNumId w:val="9"/>
  </w:num>
  <w:num w:numId="11" w16cid:durableId="381756073">
    <w:abstractNumId w:val="21"/>
  </w:num>
  <w:num w:numId="12" w16cid:durableId="319381924">
    <w:abstractNumId w:val="10"/>
  </w:num>
  <w:num w:numId="13" w16cid:durableId="670065638">
    <w:abstractNumId w:val="15"/>
  </w:num>
  <w:num w:numId="14" w16cid:durableId="523791669">
    <w:abstractNumId w:val="19"/>
  </w:num>
  <w:num w:numId="15" w16cid:durableId="746539121">
    <w:abstractNumId w:val="20"/>
  </w:num>
  <w:num w:numId="16" w16cid:durableId="2080402100">
    <w:abstractNumId w:val="14"/>
  </w:num>
  <w:num w:numId="17" w16cid:durableId="965282302">
    <w:abstractNumId w:val="17"/>
  </w:num>
  <w:num w:numId="18" w16cid:durableId="681902332">
    <w:abstractNumId w:val="11"/>
  </w:num>
  <w:num w:numId="19" w16cid:durableId="1892885780">
    <w:abstractNumId w:val="12"/>
  </w:num>
  <w:num w:numId="20" w16cid:durableId="1253903464">
    <w:abstractNumId w:val="16"/>
  </w:num>
  <w:num w:numId="21" w16cid:durableId="707990464">
    <w:abstractNumId w:val="18"/>
  </w:num>
  <w:num w:numId="22" w16cid:durableId="7513972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F02"/>
    <w:rsid w:val="003F4F12"/>
    <w:rsid w:val="00A673B6"/>
    <w:rsid w:val="00AA1D8D"/>
    <w:rsid w:val="00B4497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23E08"/>
  <w14:defaultImageDpi w14:val="300"/>
  <w15:docId w15:val="{379785CC-9E49-4EE0-AC11-802EC70F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Adhya/COMPUTATIONAL AND DATA SC/SYNGENE</cp:lastModifiedBy>
  <cp:revision>2</cp:revision>
  <dcterms:created xsi:type="dcterms:W3CDTF">2013-12-23T23:15:00Z</dcterms:created>
  <dcterms:modified xsi:type="dcterms:W3CDTF">2025-12-26T11:54:00Z</dcterms:modified>
  <cp:category/>
</cp:coreProperties>
</file>