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8810" w14:textId="2B88DCEC" w:rsidR="00C051F1" w:rsidRPr="005B1E1D" w:rsidRDefault="00C051F1" w:rsidP="00C051F1">
      <w:pPr>
        <w:jc w:val="center"/>
        <w:rPr>
          <w:rFonts w:cstheme="minorHAnsi"/>
          <w:b/>
          <w:color w:val="2F5496" w:themeColor="accent1" w:themeShade="BF"/>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2F5496" w:themeColor="accent1" w:themeShade="BF"/>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Supply Chain Analysis</w:t>
      </w:r>
    </w:p>
    <w:p w14:paraId="4AD2A666" w14:textId="77777777" w:rsidR="00330AE1" w:rsidRDefault="00330AE1" w:rsidP="00330AE1">
      <w:pP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1.Executive Summary</w:t>
      </w:r>
    </w:p>
    <w:p w14:paraId="5C015081" w14:textId="4BC7CB64" w:rsidR="00330AE1" w:rsidRPr="00330AE1" w:rsidRDefault="00330AE1" w:rsidP="00330AE1">
      <w:pP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0AE1">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53661B75" w14:textId="2633BDFB" w:rsidR="00330AE1" w:rsidRPr="00330AE1" w:rsidRDefault="00330AE1" w:rsidP="00330AE1">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0AE1">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headline finding is stark: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 A Random Forest predictive model achieved 74% accuracy in identifying at-risk orders before they become late.</w:t>
      </w:r>
    </w:p>
    <w:tbl>
      <w:tblPr>
        <w:tblStyle w:val="PlainTable1"/>
        <w:tblW w:w="0" w:type="auto"/>
        <w:tblInd w:w="-5" w:type="dxa"/>
        <w:tblLook w:val="04A0" w:firstRow="1" w:lastRow="0" w:firstColumn="1" w:lastColumn="0" w:noHBand="0" w:noVBand="1"/>
      </w:tblPr>
      <w:tblGrid>
        <w:gridCol w:w="5215"/>
        <w:gridCol w:w="4135"/>
      </w:tblGrid>
      <w:tr w:rsidR="0023646C" w14:paraId="0036799B" w14:textId="77777777" w:rsidTr="00236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shd w:val="clear" w:color="auto" w:fill="1F3864" w:themeFill="accent1" w:themeFillShade="80"/>
          </w:tcPr>
          <w:p w14:paraId="44AF7DAE" w14:textId="2BC8262D" w:rsidR="0023646C" w:rsidRPr="0023646C" w:rsidRDefault="0023646C" w:rsidP="0023646C">
            <w:pPr>
              <w:rPr>
                <w:rFonts w:cstheme="minorHAnsi"/>
                <w:b w:val="0"/>
                <w:color w:val="FFFFFF" w:themeColor="background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66">
              <w:rPr>
                <w:rFonts w:cstheme="minorHAnsi"/>
                <w:bCs w:val="0"/>
                <w:color w:val="FFFFFF" w:themeColor="background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w:t>
            </w:r>
            <w:r w:rsidRPr="0023646C">
              <w:rPr>
                <w:rFonts w:cstheme="minorHAnsi"/>
                <w:b w:val="0"/>
                <w:color w:val="FFFFFF" w:themeColor="background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A2766">
              <w:rPr>
                <w:rFonts w:cstheme="minorHAnsi"/>
                <w:bCs w:val="0"/>
                <w:color w:val="FFFFFF" w:themeColor="background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Finding</w:t>
            </w:r>
          </w:p>
        </w:tc>
        <w:tc>
          <w:tcPr>
            <w:tcW w:w="4135" w:type="dxa"/>
            <w:shd w:val="clear" w:color="auto" w:fill="1F3864" w:themeFill="accent1" w:themeFillShade="80"/>
          </w:tcPr>
          <w:p w14:paraId="1B755B26" w14:textId="75884BF8" w:rsidR="0023646C" w:rsidRPr="0023646C" w:rsidRDefault="0023646C" w:rsidP="0023646C">
            <w:pP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66">
              <w:rPr>
                <w:rFonts w:cstheme="minorHAnsi"/>
                <w:bCs w:val="0"/>
                <w:color w:val="FFFFFF" w:themeColor="background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Metric</w:t>
            </w:r>
          </w:p>
        </w:tc>
      </w:tr>
      <w:tr w:rsidR="0023646C" w14:paraId="03980DCB" w14:textId="77777777" w:rsidTr="00236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44E3D6A5" w14:textId="4911A5EE" w:rsidR="0023646C" w:rsidRPr="00AA27F8" w:rsidRDefault="0023646C"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Overall Late Delivery Rate</w:t>
            </w:r>
          </w:p>
        </w:tc>
        <w:tc>
          <w:tcPr>
            <w:tcW w:w="4135" w:type="dxa"/>
          </w:tcPr>
          <w:p w14:paraId="73AE5FA4" w14:textId="63867925" w:rsidR="0023646C" w:rsidRPr="00AA27F8" w:rsidRDefault="0023646C" w:rsidP="0023646C">
            <w:pPr>
              <w:cnfStyle w:val="000000100000" w:firstRow="0" w:lastRow="0" w:firstColumn="0" w:lastColumn="0" w:oddVBand="0" w:evenVBand="0" w:oddHBand="1"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54.71%</w:t>
            </w:r>
          </w:p>
        </w:tc>
      </w:tr>
      <w:tr w:rsidR="0023646C" w14:paraId="434ABF37" w14:textId="77777777" w:rsidTr="0023646C">
        <w:tc>
          <w:tcPr>
            <w:cnfStyle w:val="001000000000" w:firstRow="0" w:lastRow="0" w:firstColumn="1" w:lastColumn="0" w:oddVBand="0" w:evenVBand="0" w:oddHBand="0" w:evenHBand="0" w:firstRowFirstColumn="0" w:firstRowLastColumn="0" w:lastRowFirstColumn="0" w:lastRowLastColumn="0"/>
            <w:tcW w:w="5215" w:type="dxa"/>
          </w:tcPr>
          <w:p w14:paraId="7B55D7EB" w14:textId="2E257264" w:rsidR="0023646C" w:rsidRPr="00AA27F8" w:rsidRDefault="0023646C"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Time Delivery Rate</w:t>
            </w:r>
          </w:p>
        </w:tc>
        <w:tc>
          <w:tcPr>
            <w:tcW w:w="4135" w:type="dxa"/>
          </w:tcPr>
          <w:p w14:paraId="274954E6" w14:textId="039EE6DD" w:rsidR="0023646C" w:rsidRPr="00AA27F8" w:rsidRDefault="0023646C" w:rsidP="0023646C">
            <w:pPr>
              <w:cnfStyle w:val="000000000000" w:firstRow="0" w:lastRow="0" w:firstColumn="0" w:lastColumn="0" w:oddVBand="0" w:evenVBand="0" w:oddHBand="0"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45.29%</w:t>
            </w:r>
          </w:p>
        </w:tc>
      </w:tr>
      <w:tr w:rsidR="0023646C" w14:paraId="6B5C928D" w14:textId="77777777" w:rsidTr="00236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25967BA5" w14:textId="2A6C344B" w:rsidR="0023646C" w:rsidRPr="00AA27F8" w:rsidRDefault="0023646C"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Order Analyzed</w:t>
            </w:r>
          </w:p>
        </w:tc>
        <w:tc>
          <w:tcPr>
            <w:tcW w:w="4135" w:type="dxa"/>
          </w:tcPr>
          <w:p w14:paraId="19123A8B" w14:textId="0823BDA3" w:rsidR="0023646C" w:rsidRPr="00AA27F8" w:rsidRDefault="00AA27F8" w:rsidP="0023646C">
            <w:pPr>
              <w:cnfStyle w:val="000000100000" w:firstRow="0" w:lastRow="0" w:firstColumn="0" w:lastColumn="0" w:oddVBand="0" w:evenVBand="0" w:oddHBand="1"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172,765</w:t>
            </w:r>
          </w:p>
        </w:tc>
      </w:tr>
      <w:tr w:rsidR="0023646C" w14:paraId="1501A143" w14:textId="77777777" w:rsidTr="0023646C">
        <w:tc>
          <w:tcPr>
            <w:cnfStyle w:val="001000000000" w:firstRow="0" w:lastRow="0" w:firstColumn="1" w:lastColumn="0" w:oddVBand="0" w:evenVBand="0" w:oddHBand="0" w:evenHBand="0" w:firstRowFirstColumn="0" w:firstRowLastColumn="0" w:lastRowFirstColumn="0" w:lastRowLastColumn="0"/>
            <w:tcW w:w="5215" w:type="dxa"/>
          </w:tcPr>
          <w:p w14:paraId="596F23EE" w14:textId="6120A877" w:rsidR="0023646C" w:rsidRPr="00AA27F8" w:rsidRDefault="0023646C"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Profit</w:t>
            </w:r>
            <w:r w:rsidR="005B1E1D">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A27F8"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profitable order</w:t>
            </w: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c>
          <w:tcPr>
            <w:tcW w:w="4135" w:type="dxa"/>
          </w:tcPr>
          <w:p w14:paraId="17C25348" w14:textId="7A79FD9B" w:rsidR="0023646C" w:rsidRPr="00AA27F8" w:rsidRDefault="00AA27F8" w:rsidP="0023646C">
            <w:pPr>
              <w:cnfStyle w:val="000000000000" w:firstRow="0" w:lastRow="0" w:firstColumn="0" w:lastColumn="0" w:oddVBand="0" w:evenVBand="0" w:oddHBand="0"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$7.5M</w:t>
            </w:r>
          </w:p>
        </w:tc>
      </w:tr>
      <w:tr w:rsidR="0023646C" w14:paraId="3CEFE9A4" w14:textId="77777777" w:rsidTr="00236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7A945257" w14:textId="3CEBB86B" w:rsidR="0023646C" w:rsidRPr="00AA27F8" w:rsidRDefault="00AA27F8"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Profit at Risk</w:t>
            </w:r>
            <w:r w:rsidR="005B1E1D">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(delayed order)</w:t>
            </w:r>
          </w:p>
        </w:tc>
        <w:tc>
          <w:tcPr>
            <w:tcW w:w="4135" w:type="dxa"/>
          </w:tcPr>
          <w:p w14:paraId="2727CCFE" w14:textId="1C9BF49B" w:rsidR="0023646C" w:rsidRPr="00AA27F8" w:rsidRDefault="00AA27F8" w:rsidP="0023646C">
            <w:pPr>
              <w:cnfStyle w:val="000000100000" w:firstRow="0" w:lastRow="0" w:firstColumn="0" w:lastColumn="0" w:oddVBand="0" w:evenVBand="0" w:oddHBand="1"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$2.1M</w:t>
            </w:r>
          </w:p>
        </w:tc>
      </w:tr>
      <w:tr w:rsidR="0023646C" w14:paraId="27A8D23B" w14:textId="77777777" w:rsidTr="0023646C">
        <w:tc>
          <w:tcPr>
            <w:cnfStyle w:val="001000000000" w:firstRow="0" w:lastRow="0" w:firstColumn="1" w:lastColumn="0" w:oddVBand="0" w:evenVBand="0" w:oddHBand="0" w:evenHBand="0" w:firstRowFirstColumn="0" w:firstRowLastColumn="0" w:lastRowFirstColumn="0" w:lastRowLastColumn="0"/>
            <w:tcW w:w="5215" w:type="dxa"/>
          </w:tcPr>
          <w:p w14:paraId="1CF55ED6" w14:textId="07AD5958" w:rsidR="0023646C" w:rsidRPr="00AA27F8" w:rsidRDefault="00AA27F8" w:rsidP="0023646C">
            <w:pPr>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val="0"/>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Predictive Model Accuracy</w:t>
            </w:r>
          </w:p>
        </w:tc>
        <w:tc>
          <w:tcPr>
            <w:tcW w:w="4135" w:type="dxa"/>
          </w:tcPr>
          <w:p w14:paraId="0C43FF61" w14:textId="515EFA10" w:rsidR="0023646C" w:rsidRPr="00AA27F8" w:rsidRDefault="00AA27F8" w:rsidP="0023646C">
            <w:pPr>
              <w:cnfStyle w:val="000000000000" w:firstRow="0" w:lastRow="0" w:firstColumn="0" w:lastColumn="0" w:oddVBand="0" w:evenVBand="0" w:oddHBand="0" w:evenHBand="0" w:firstRowFirstColumn="0" w:firstRowLastColumn="0" w:lastRowFirstColumn="0" w:lastRowLastColumn="0"/>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74%</w:t>
            </w:r>
          </w:p>
        </w:tc>
      </w:tr>
    </w:tbl>
    <w:p w14:paraId="50D0C6CB" w14:textId="77777777" w:rsidR="00AA27F8" w:rsidRPr="005B1E1D" w:rsidRDefault="00AA27F8" w:rsidP="0023646C">
      <w:pPr>
        <w:rPr>
          <w:rFonts w:cstheme="minorHAns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109855" w14:textId="13CD94C3" w:rsidR="00AA27F8" w:rsidRDefault="00AA27F8" w:rsidP="0023646C">
      <w:pP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2.Business Context &amp; Objectives</w:t>
      </w:r>
    </w:p>
    <w:p w14:paraId="27879FFE" w14:textId="77777777" w:rsidR="00AA27F8" w:rsidRPr="00AA27F8" w:rsidRDefault="00AA27F8" w:rsidP="00AA27F8">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27F8">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company operates a global e-commerce platform selling products across categories including sporting goods, fitness equipment, outdoor gear, footwear, and apparel across multiple international regions.</w:t>
      </w:r>
    </w:p>
    <w:p w14:paraId="4F7E3F2D" w14:textId="65F2DD0F" w:rsidR="00AA27F8" w:rsidRPr="002710CE" w:rsidRDefault="00AA27F8" w:rsidP="00AA27F8">
      <w:pPr>
        <w:rPr>
          <w:rFonts w:cstheme="minorHAnsi"/>
          <w:b/>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Business Problem</w:t>
      </w:r>
    </w:p>
    <w:p w14:paraId="19119C42" w14:textId="5B27842F" w:rsidR="00AA27F8" w:rsidRPr="002710CE" w:rsidRDefault="002710CE" w:rsidP="00AA27F8">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Actual shipping times frequently deviate from scheduled delivery windows, creating eroded customer trust, reduced order profitability, and an inability to make reliable commitments to buyers at point of purchase.</w:t>
      </w:r>
    </w:p>
    <w:p w14:paraId="5AA99499" w14:textId="77777777" w:rsidR="002710CE" w:rsidRDefault="00AA27F8" w:rsidP="002710CE">
      <w:pPr>
        <w:rPr>
          <w:rFonts w:cstheme="minorHAnsi"/>
          <w:b/>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Analytical Objectives</w:t>
      </w:r>
    </w:p>
    <w:p w14:paraId="681B34F0" w14:textId="77777777" w:rsidR="002710CE" w:rsidRPr="002710CE" w:rsidRDefault="00AA27F8" w:rsidP="00AA27F8">
      <w:pPr>
        <w:pStyle w:val="ListParagraph"/>
        <w:numPr>
          <w:ilvl w:val="0"/>
          <w:numId w:val="5"/>
        </w:numPr>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Understand the current state of delivery performance across all dimensions (region, mode, time, segment)</w:t>
      </w:r>
    </w:p>
    <w:p w14:paraId="07A34996" w14:textId="77777777" w:rsidR="002710CE" w:rsidRPr="002710CE" w:rsidRDefault="00AA27F8" w:rsidP="00AA27F8">
      <w:pPr>
        <w:pStyle w:val="ListParagraph"/>
        <w:numPr>
          <w:ilvl w:val="0"/>
          <w:numId w:val="5"/>
        </w:numPr>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Quantify the financial impact of delays on order profitability</w:t>
      </w:r>
    </w:p>
    <w:p w14:paraId="4006C356" w14:textId="77777777" w:rsidR="002710CE" w:rsidRPr="002710CE" w:rsidRDefault="00AA27F8" w:rsidP="00AA27F8">
      <w:pPr>
        <w:pStyle w:val="ListParagraph"/>
        <w:numPr>
          <w:ilvl w:val="0"/>
          <w:numId w:val="5"/>
        </w:numPr>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Identify the primary operational bottlenecks driving late deliveries</w:t>
      </w:r>
    </w:p>
    <w:p w14:paraId="764E9A05" w14:textId="77777777" w:rsidR="002710CE" w:rsidRPr="002710CE" w:rsidRDefault="00AA27F8" w:rsidP="00AA27F8">
      <w:pPr>
        <w:pStyle w:val="ListParagraph"/>
        <w:numPr>
          <w:ilvl w:val="0"/>
          <w:numId w:val="5"/>
        </w:numPr>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Build a predictive model to flag high-risk orders before they are shipped</w:t>
      </w:r>
    </w:p>
    <w:p w14:paraId="606763DE" w14:textId="25EC5391" w:rsidR="00AA27F8" w:rsidRPr="005B1E1D" w:rsidRDefault="00AA27F8" w:rsidP="00AA27F8">
      <w:pPr>
        <w:pStyle w:val="ListParagraph"/>
        <w:numPr>
          <w:ilvl w:val="0"/>
          <w:numId w:val="5"/>
        </w:numPr>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10CE">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Deliver actionable recommendations to improve on-time delivery and profitability</w:t>
      </w:r>
    </w:p>
    <w:p w14:paraId="240DB1CE" w14:textId="77777777" w:rsidR="005B1E1D" w:rsidRPr="002710CE" w:rsidRDefault="005B1E1D" w:rsidP="005B1E1D">
      <w:pPr>
        <w:pStyle w:val="ListParagraph"/>
        <w:rPr>
          <w:rFonts w:cstheme="minorHAnsi"/>
          <w:bCs/>
          <w:color w:val="2E74B5" w:themeColor="accent5"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CDE0AC" w14:textId="52964787" w:rsidR="00AA27F8" w:rsidRDefault="005B1E1D" w:rsidP="0023646C">
      <w:pP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Key Performance Indicators (KPIs)</w:t>
      </w:r>
    </w:p>
    <w:p w14:paraId="7080929F" w14:textId="4576128B" w:rsidR="005B1E1D" w:rsidRDefault="005B1E1D" w:rsidP="0023646C">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following KPIs were computed directly from the cleaned dataset to establish a performance baseline.</w:t>
      </w:r>
    </w:p>
    <w:tbl>
      <w:tblPr>
        <w:tblStyle w:val="TableGrid"/>
        <w:tblW w:w="9445" w:type="dxa"/>
        <w:tblLook w:val="04A0" w:firstRow="1" w:lastRow="0" w:firstColumn="1" w:lastColumn="0" w:noHBand="0" w:noVBand="1"/>
      </w:tblPr>
      <w:tblGrid>
        <w:gridCol w:w="2337"/>
        <w:gridCol w:w="2337"/>
        <w:gridCol w:w="2338"/>
        <w:gridCol w:w="2433"/>
      </w:tblGrid>
      <w:tr w:rsidR="005B1E1D" w14:paraId="5135E01F" w14:textId="77777777" w:rsidTr="005B1E1D">
        <w:trPr>
          <w:trHeight w:val="659"/>
        </w:trPr>
        <w:tc>
          <w:tcPr>
            <w:tcW w:w="2337" w:type="dxa"/>
            <w:shd w:val="clear" w:color="auto" w:fill="D5DCE4" w:themeFill="text2" w:themeFillTint="33"/>
            <w:vAlign w:val="center"/>
          </w:tcPr>
          <w:p w14:paraId="014D8068" w14:textId="1BD52982" w:rsidR="005B1E1D" w:rsidRPr="005B1E1D" w:rsidRDefault="005B1E1D" w:rsidP="005B1E1D">
            <w:pPr>
              <w:jc w:val="center"/>
              <w:rPr>
                <w:rFonts w:cstheme="minorHAnsi"/>
                <w:b/>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Orders</w:t>
            </w:r>
          </w:p>
        </w:tc>
        <w:tc>
          <w:tcPr>
            <w:tcW w:w="2337" w:type="dxa"/>
            <w:shd w:val="clear" w:color="auto" w:fill="D5DCE4" w:themeFill="text2" w:themeFillTint="33"/>
            <w:vAlign w:val="center"/>
          </w:tcPr>
          <w:p w14:paraId="1543C716" w14:textId="6CA6F54A" w:rsidR="005B1E1D" w:rsidRPr="005B1E1D" w:rsidRDefault="005B1E1D" w:rsidP="005B1E1D">
            <w:pPr>
              <w:jc w:val="center"/>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Late Deliveries</w:t>
            </w:r>
          </w:p>
        </w:tc>
        <w:tc>
          <w:tcPr>
            <w:tcW w:w="2338" w:type="dxa"/>
            <w:shd w:val="clear" w:color="auto" w:fill="D5DCE4" w:themeFill="text2" w:themeFillTint="33"/>
            <w:vAlign w:val="center"/>
          </w:tcPr>
          <w:p w14:paraId="64395E66" w14:textId="43193420" w:rsidR="005B1E1D" w:rsidRPr="005B1E1D" w:rsidRDefault="005B1E1D" w:rsidP="005B1E1D">
            <w:pPr>
              <w:jc w:val="center"/>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Late Delivery %</w:t>
            </w:r>
          </w:p>
        </w:tc>
        <w:tc>
          <w:tcPr>
            <w:tcW w:w="2433" w:type="dxa"/>
            <w:shd w:val="clear" w:color="auto" w:fill="D5DCE4" w:themeFill="text2" w:themeFillTint="33"/>
            <w:vAlign w:val="center"/>
          </w:tcPr>
          <w:p w14:paraId="07E7585F" w14:textId="54312C49" w:rsidR="005B1E1D" w:rsidRPr="005B1E1D" w:rsidRDefault="005B1E1D" w:rsidP="005B1E1D">
            <w:pPr>
              <w:jc w:val="center"/>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Time Delivery %</w:t>
            </w:r>
          </w:p>
        </w:tc>
      </w:tr>
      <w:tr w:rsidR="005B1E1D" w14:paraId="2C7A5E38" w14:textId="77777777" w:rsidTr="005B1E1D">
        <w:trPr>
          <w:trHeight w:val="659"/>
        </w:trPr>
        <w:tc>
          <w:tcPr>
            <w:tcW w:w="2337" w:type="dxa"/>
            <w:shd w:val="clear" w:color="auto" w:fill="D5DCE4" w:themeFill="text2" w:themeFillTint="33"/>
            <w:vAlign w:val="center"/>
          </w:tcPr>
          <w:p w14:paraId="6E1573ED" w14:textId="40B28640" w:rsidR="005B1E1D" w:rsidRPr="005B1E1D" w:rsidRDefault="005B1E1D" w:rsidP="005B1E1D">
            <w:pPr>
              <w:jc w:val="center"/>
              <w:rPr>
                <w:rFonts w:cstheme="minorHAnsi"/>
                <w:b/>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172,765</w:t>
            </w:r>
          </w:p>
        </w:tc>
        <w:tc>
          <w:tcPr>
            <w:tcW w:w="2337" w:type="dxa"/>
            <w:shd w:val="clear" w:color="auto" w:fill="D5DCE4" w:themeFill="text2" w:themeFillTint="33"/>
            <w:vAlign w:val="center"/>
          </w:tcPr>
          <w:p w14:paraId="480D30C6" w14:textId="4889E1C4" w:rsidR="005B1E1D" w:rsidRPr="005B1E1D" w:rsidRDefault="005B1E1D" w:rsidP="005B1E1D">
            <w:pPr>
              <w:jc w:val="center"/>
              <w:rPr>
                <w:rFonts w:cstheme="minorHAnsi"/>
                <w:bCs/>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94</w:t>
            </w:r>
            <w:r w:rsidRPr="005B1E1D">
              <w:rPr>
                <w:rFonts w:cstheme="minorHAnsi"/>
                <w:bCs/>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B1E1D">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523</w:t>
            </w:r>
          </w:p>
        </w:tc>
        <w:tc>
          <w:tcPr>
            <w:tcW w:w="2338" w:type="dxa"/>
            <w:shd w:val="clear" w:color="auto" w:fill="D5DCE4" w:themeFill="text2" w:themeFillTint="33"/>
            <w:vAlign w:val="center"/>
          </w:tcPr>
          <w:p w14:paraId="3D150880" w14:textId="0E3930FE" w:rsidR="005B1E1D" w:rsidRPr="005B1E1D" w:rsidRDefault="005B1E1D" w:rsidP="005B1E1D">
            <w:pPr>
              <w:jc w:val="center"/>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54.71%</w:t>
            </w:r>
          </w:p>
        </w:tc>
        <w:tc>
          <w:tcPr>
            <w:tcW w:w="2433" w:type="dxa"/>
            <w:shd w:val="clear" w:color="auto" w:fill="D5DCE4" w:themeFill="text2" w:themeFillTint="33"/>
            <w:vAlign w:val="center"/>
          </w:tcPr>
          <w:p w14:paraId="6AF3F7E8" w14:textId="04DE034C" w:rsidR="005B1E1D" w:rsidRPr="005B1E1D" w:rsidRDefault="005B1E1D" w:rsidP="005B1E1D">
            <w:pPr>
              <w:jc w:val="center"/>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45.29%</w:t>
            </w:r>
          </w:p>
        </w:tc>
      </w:tr>
    </w:tbl>
    <w:p w14:paraId="08583538" w14:textId="77777777" w:rsidR="005B1E1D" w:rsidRPr="005B1E1D" w:rsidRDefault="005B1E1D" w:rsidP="0023646C">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9445" w:type="dxa"/>
        <w:tblLook w:val="04A0" w:firstRow="1" w:lastRow="0" w:firstColumn="1" w:lastColumn="0" w:noHBand="0" w:noVBand="1"/>
      </w:tblPr>
      <w:tblGrid>
        <w:gridCol w:w="2337"/>
        <w:gridCol w:w="2337"/>
        <w:gridCol w:w="2338"/>
        <w:gridCol w:w="2433"/>
      </w:tblGrid>
      <w:tr w:rsidR="005B1E1D" w14:paraId="453C0BBF" w14:textId="77777777" w:rsidTr="005B1E1D">
        <w:trPr>
          <w:trHeight w:val="566"/>
        </w:trPr>
        <w:tc>
          <w:tcPr>
            <w:tcW w:w="2337" w:type="dxa"/>
            <w:shd w:val="clear" w:color="auto" w:fill="D5DCE4" w:themeFill="text2" w:themeFillTint="33"/>
            <w:vAlign w:val="center"/>
          </w:tcPr>
          <w:p w14:paraId="6238D29F" w14:textId="3367DCCC" w:rsidR="005B1E1D" w:rsidRPr="005B1E1D" w:rsidRDefault="005B1E1D" w:rsidP="005B1E1D">
            <w:pPr>
              <w:jc w:val="center"/>
              <w:rPr>
                <w:rFonts w:cstheme="minorHAnsi"/>
                <w:b/>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Profit (profitable orders)</w:t>
            </w:r>
          </w:p>
        </w:tc>
        <w:tc>
          <w:tcPr>
            <w:tcW w:w="2337" w:type="dxa"/>
            <w:shd w:val="clear" w:color="auto" w:fill="D5DCE4" w:themeFill="text2" w:themeFillTint="33"/>
            <w:vAlign w:val="center"/>
          </w:tcPr>
          <w:p w14:paraId="38F4FB59" w14:textId="328E3A94" w:rsidR="005B1E1D" w:rsidRPr="005B1E1D" w:rsidRDefault="005B1E1D" w:rsidP="005B1E1D">
            <w:pPr>
              <w:jc w:val="center"/>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Profit at Risk (delayed orders)</w:t>
            </w:r>
          </w:p>
        </w:tc>
        <w:tc>
          <w:tcPr>
            <w:tcW w:w="2338" w:type="dxa"/>
            <w:shd w:val="clear" w:color="auto" w:fill="D5DCE4" w:themeFill="text2" w:themeFillTint="33"/>
            <w:vAlign w:val="center"/>
          </w:tcPr>
          <w:p w14:paraId="295B5A27" w14:textId="156A09A6" w:rsidR="005B1E1D" w:rsidRPr="005B1E1D" w:rsidRDefault="005B1E1D" w:rsidP="005B1E1D">
            <w:pPr>
              <w:jc w:val="center"/>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90</w:t>
            </w:r>
            <w:r w:rsidRPr="005B1E1D">
              <w:rPr>
                <w:rFonts w:cstheme="minorHAnsi"/>
                <w:bCs/>
                <w:color w:val="000000" w:themeColor="tex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Percentile Delay</w:t>
            </w:r>
          </w:p>
        </w:tc>
        <w:tc>
          <w:tcPr>
            <w:tcW w:w="2433" w:type="dxa"/>
            <w:shd w:val="clear" w:color="auto" w:fill="D5DCE4" w:themeFill="text2" w:themeFillTint="33"/>
            <w:vAlign w:val="center"/>
          </w:tcPr>
          <w:p w14:paraId="309E5553" w14:textId="78529722" w:rsidR="005B1E1D" w:rsidRPr="005B1E1D" w:rsidRDefault="005B1E1D" w:rsidP="005B1E1D">
            <w:pPr>
              <w:jc w:val="center"/>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Avg Order Profit</w:t>
            </w:r>
          </w:p>
        </w:tc>
      </w:tr>
      <w:tr w:rsidR="005B1E1D" w14:paraId="1D3CDFCE" w14:textId="77777777" w:rsidTr="005B1E1D">
        <w:trPr>
          <w:trHeight w:val="566"/>
        </w:trPr>
        <w:tc>
          <w:tcPr>
            <w:tcW w:w="2337" w:type="dxa"/>
            <w:shd w:val="clear" w:color="auto" w:fill="D5DCE4" w:themeFill="text2" w:themeFillTint="33"/>
            <w:vAlign w:val="center"/>
          </w:tcPr>
          <w:p w14:paraId="711A18FC" w14:textId="3DAC7611" w:rsidR="005B1E1D" w:rsidRPr="005B1E1D" w:rsidRDefault="005B1E1D" w:rsidP="005B1E1D">
            <w:pPr>
              <w:jc w:val="center"/>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$7.5M</w:t>
            </w:r>
          </w:p>
        </w:tc>
        <w:tc>
          <w:tcPr>
            <w:tcW w:w="2337" w:type="dxa"/>
            <w:shd w:val="clear" w:color="auto" w:fill="D5DCE4" w:themeFill="text2" w:themeFillTint="33"/>
            <w:vAlign w:val="center"/>
          </w:tcPr>
          <w:p w14:paraId="113D8172" w14:textId="63EAE6E8" w:rsidR="005B1E1D" w:rsidRPr="005B1E1D" w:rsidRDefault="005B1E1D" w:rsidP="005B1E1D">
            <w:pPr>
              <w:jc w:val="center"/>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C0000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$2.1M</w:t>
            </w:r>
          </w:p>
        </w:tc>
        <w:tc>
          <w:tcPr>
            <w:tcW w:w="2338" w:type="dxa"/>
            <w:shd w:val="clear" w:color="auto" w:fill="D5DCE4" w:themeFill="text2" w:themeFillTint="33"/>
            <w:vAlign w:val="center"/>
          </w:tcPr>
          <w:p w14:paraId="7F9BBCAA" w14:textId="2E9C5758" w:rsidR="005B1E1D" w:rsidRPr="005B1E1D" w:rsidRDefault="005B1E1D" w:rsidP="005B1E1D">
            <w:pPr>
              <w:jc w:val="center"/>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Days</w:t>
            </w:r>
          </w:p>
        </w:tc>
        <w:tc>
          <w:tcPr>
            <w:tcW w:w="2433" w:type="dxa"/>
            <w:shd w:val="clear" w:color="auto" w:fill="D5DCE4" w:themeFill="text2" w:themeFillTint="33"/>
            <w:vAlign w:val="center"/>
          </w:tcPr>
          <w:p w14:paraId="14A1C630" w14:textId="3EDB2A68" w:rsidR="005B1E1D" w:rsidRPr="005B1E1D" w:rsidRDefault="005B1E1D" w:rsidP="005B1E1D">
            <w:pPr>
              <w:jc w:val="center"/>
              <w:rPr>
                <w:rFonts w:cstheme="minorHAnsi"/>
                <w:b/>
                <w:color w:val="2F5496" w:themeColor="accent1"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538135"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$22.03</w:t>
            </w:r>
          </w:p>
        </w:tc>
      </w:tr>
    </w:tbl>
    <w:p w14:paraId="56A7FF0A" w14:textId="257E0410" w:rsidR="00C051F1" w:rsidRPr="00C051F1" w:rsidRDefault="00C051F1" w:rsidP="005B1E1D">
      <w:pP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9445" w:type="dxa"/>
        <w:tblLook w:val="04A0" w:firstRow="1" w:lastRow="0" w:firstColumn="1" w:lastColumn="0" w:noHBand="0" w:noVBand="1"/>
      </w:tblPr>
      <w:tblGrid>
        <w:gridCol w:w="2335"/>
        <w:gridCol w:w="7110"/>
      </w:tblGrid>
      <w:tr w:rsidR="005B1E1D" w14:paraId="24799F1C" w14:textId="77777777" w:rsidTr="005B1E1D">
        <w:tc>
          <w:tcPr>
            <w:tcW w:w="2335" w:type="dxa"/>
            <w:shd w:val="clear" w:color="auto" w:fill="D5DCE4" w:themeFill="text2" w:themeFillTint="33"/>
            <w:vAlign w:val="center"/>
          </w:tcPr>
          <w:p w14:paraId="6818043C" w14:textId="736B7A41" w:rsidR="005B1E1D" w:rsidRPr="005B1E1D" w:rsidRDefault="005B1E1D" w:rsidP="005B1E1D">
            <w:pPr>
              <w:jc w:val="center"/>
              <w:rPr>
                <w:rFonts w:cstheme="minorHAnsi"/>
                <w:b/>
                <w:color w:val="2F5496" w:themeColor="accent1"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Late Delivery Rate at 54.71%</w:t>
            </w:r>
          </w:p>
        </w:tc>
        <w:tc>
          <w:tcPr>
            <w:tcW w:w="7110" w:type="dxa"/>
            <w:shd w:val="clear" w:color="auto" w:fill="D5DCE4" w:themeFill="text2" w:themeFillTint="33"/>
            <w:vAlign w:val="center"/>
          </w:tcPr>
          <w:p w14:paraId="7C675D77" w14:textId="033413E3" w:rsidR="005B1E1D" w:rsidRPr="005B1E1D" w:rsidRDefault="005B1E1D" w:rsidP="005B1E1D">
            <w:pPr>
              <w:jc w:val="center"/>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More than half of all orders arrive late. This is not an edge-case problem</w:t>
            </w:r>
            <w:r w:rsidR="00927334">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A4CF7">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27334">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B1E1D">
              <w:rPr>
                <w:rFonts w:cstheme="minorHAns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is the default experience for the majority of customers.</w:t>
            </w:r>
          </w:p>
        </w:tc>
      </w:tr>
    </w:tbl>
    <w:p w14:paraId="7BE6274B" w14:textId="77777777" w:rsidR="00C051F1" w:rsidRPr="005B1E1D" w:rsidRDefault="00C051F1" w:rsidP="005B1E1D">
      <w:pPr>
        <w:spacing w:line="240" w:lineRule="auto"/>
        <w:jc w:val="center"/>
        <w:rPr>
          <w:rFonts w:cstheme="minorHAnsi"/>
          <w:bCs/>
          <w:color w:val="2F5496" w:themeColor="accent1"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9445" w:type="dxa"/>
        <w:tblLook w:val="04A0" w:firstRow="1" w:lastRow="0" w:firstColumn="1" w:lastColumn="0" w:noHBand="0" w:noVBand="1"/>
      </w:tblPr>
      <w:tblGrid>
        <w:gridCol w:w="2245"/>
        <w:gridCol w:w="7200"/>
      </w:tblGrid>
      <w:tr w:rsidR="005B1E1D" w:rsidRPr="005B1E1D" w14:paraId="45E75CA6" w14:textId="77777777" w:rsidTr="005B1E1D">
        <w:trPr>
          <w:trHeight w:val="674"/>
        </w:trPr>
        <w:tc>
          <w:tcPr>
            <w:tcW w:w="2245" w:type="dxa"/>
            <w:shd w:val="clear" w:color="auto" w:fill="D5DCE4" w:themeFill="text2" w:themeFillTint="33"/>
            <w:vAlign w:val="center"/>
          </w:tcPr>
          <w:p w14:paraId="757CD78A" w14:textId="0A0B3C62" w:rsidR="005B1E1D" w:rsidRPr="005B1E1D" w:rsidRDefault="005B1E1D" w:rsidP="005B1E1D">
            <w:pPr>
              <w:jc w:val="center"/>
              <w:rPr>
                <w:b/>
                <w:bCs/>
              </w:rPr>
            </w:pPr>
            <w:r w:rsidRPr="005B1E1D">
              <w:rPr>
                <w:b/>
                <w:bCs/>
              </w:rPr>
              <w:t>$2.1M Profit at Risk</w:t>
            </w:r>
          </w:p>
        </w:tc>
        <w:tc>
          <w:tcPr>
            <w:tcW w:w="7200" w:type="dxa"/>
            <w:shd w:val="clear" w:color="auto" w:fill="D5DCE4" w:themeFill="text2" w:themeFillTint="33"/>
          </w:tcPr>
          <w:p w14:paraId="5165B541" w14:textId="4C084601" w:rsidR="005B1E1D" w:rsidRPr="005B1E1D" w:rsidRDefault="005B1E1D">
            <w:r w:rsidRPr="005B1E1D">
              <w:t>Orders that experienced delays collectively generated $2.1M in profit that is under constant pressure from further operationa</w:t>
            </w:r>
            <w:r>
              <w:t xml:space="preserve">l </w:t>
            </w:r>
            <w:r w:rsidRPr="005B1E1D">
              <w:t>deterioration</w:t>
            </w:r>
            <w:r>
              <w:t>.</w:t>
            </w:r>
          </w:p>
        </w:tc>
      </w:tr>
    </w:tbl>
    <w:p w14:paraId="5F31EFAE" w14:textId="30570917" w:rsidR="00E07E47" w:rsidRDefault="00E07E47"/>
    <w:tbl>
      <w:tblPr>
        <w:tblStyle w:val="TableGrid"/>
        <w:tblW w:w="9630" w:type="dxa"/>
        <w:tblInd w:w="-95" w:type="dxa"/>
        <w:tblLook w:val="04A0" w:firstRow="1" w:lastRow="0" w:firstColumn="1" w:lastColumn="0" w:noHBand="0" w:noVBand="1"/>
      </w:tblPr>
      <w:tblGrid>
        <w:gridCol w:w="2340"/>
        <w:gridCol w:w="7290"/>
      </w:tblGrid>
      <w:tr w:rsidR="005B1E1D" w14:paraId="13788D3C" w14:textId="77777777" w:rsidTr="005B1E1D">
        <w:tc>
          <w:tcPr>
            <w:tcW w:w="2340" w:type="dxa"/>
            <w:shd w:val="clear" w:color="auto" w:fill="D5DCE4" w:themeFill="text2" w:themeFillTint="33"/>
            <w:vAlign w:val="center"/>
          </w:tcPr>
          <w:p w14:paraId="4A5CFA08" w14:textId="5395CBF9" w:rsidR="005B1E1D" w:rsidRPr="005B1E1D" w:rsidRDefault="005B1E1D" w:rsidP="005B1E1D">
            <w:pPr>
              <w:jc w:val="center"/>
              <w:rPr>
                <w:b/>
                <w:bCs/>
              </w:rPr>
            </w:pPr>
            <w:r w:rsidRPr="005B1E1D">
              <w:rPr>
                <w:b/>
                <w:bCs/>
              </w:rPr>
              <w:t>90th Percentile Delay 3 Days</w:t>
            </w:r>
          </w:p>
        </w:tc>
        <w:tc>
          <w:tcPr>
            <w:tcW w:w="7290" w:type="dxa"/>
            <w:shd w:val="clear" w:color="auto" w:fill="D5DCE4" w:themeFill="text2" w:themeFillTint="33"/>
          </w:tcPr>
          <w:p w14:paraId="6BF0E470" w14:textId="595C8E24" w:rsidR="005B1E1D" w:rsidRDefault="005B1E1D">
            <w:r w:rsidRPr="005B1E1D">
              <w:t>Even the most extreme cases are contained within 3 days of lateness, suggesting the problem is systemic and process-driven rather than catastrophic.</w:t>
            </w:r>
          </w:p>
        </w:tc>
      </w:tr>
    </w:tbl>
    <w:p w14:paraId="4BE5FBF4" w14:textId="77777777" w:rsidR="005B1E1D" w:rsidRDefault="005B1E1D"/>
    <w:p w14:paraId="41A0F9F2" w14:textId="77777777" w:rsidR="005B1E1D" w:rsidRDefault="005B1E1D">
      <w:pPr>
        <w:rPr>
          <w:b/>
          <w:bCs/>
          <w:sz w:val="40"/>
          <w:szCs w:val="40"/>
        </w:rPr>
      </w:pPr>
      <w:r w:rsidRPr="005B1E1D">
        <w:rPr>
          <w:b/>
          <w:bCs/>
          <w:sz w:val="40"/>
          <w:szCs w:val="40"/>
        </w:rPr>
        <w:lastRenderedPageBreak/>
        <w:t>4.</w:t>
      </w:r>
      <w:r w:rsidRPr="005B1E1D">
        <w:rPr>
          <w:b/>
          <w:bCs/>
        </w:rPr>
        <w:t xml:space="preserve"> </w:t>
      </w:r>
      <w:r w:rsidRPr="005B1E1D">
        <w:rPr>
          <w:b/>
          <w:bCs/>
          <w:sz w:val="40"/>
          <w:szCs w:val="40"/>
        </w:rPr>
        <w:t>Profitability Analysi</w:t>
      </w:r>
      <w:r>
        <w:rPr>
          <w:b/>
          <w:bCs/>
          <w:sz w:val="40"/>
          <w:szCs w:val="40"/>
        </w:rPr>
        <w:t>s</w:t>
      </w:r>
    </w:p>
    <w:p w14:paraId="4AB05090" w14:textId="5A9FDAFD" w:rsidR="005B1E1D" w:rsidRPr="005B1E1D" w:rsidRDefault="005B1E1D">
      <w:pPr>
        <w:rPr>
          <w:b/>
          <w:bCs/>
          <w:color w:val="2F5496" w:themeColor="accent1" w:themeShade="BF"/>
          <w:sz w:val="40"/>
          <w:szCs w:val="40"/>
        </w:rPr>
      </w:pPr>
      <w:r w:rsidRPr="005B1E1D">
        <w:rPr>
          <w:b/>
          <w:bCs/>
          <w:color w:val="2F5496" w:themeColor="accent1" w:themeShade="BF"/>
          <w:sz w:val="28"/>
          <w:szCs w:val="28"/>
        </w:rPr>
        <w:t>4.1 Profitability Distribution</w:t>
      </w:r>
    </w:p>
    <w:p w14:paraId="232687F5" w14:textId="3EB521CD" w:rsidR="005B1E1D" w:rsidRPr="005B1E1D" w:rsidRDefault="005B1E1D">
      <w:pPr>
        <w:rPr>
          <w:b/>
          <w:bCs/>
          <w:sz w:val="28"/>
          <w:szCs w:val="28"/>
        </w:rPr>
      </w:pPr>
      <w:r w:rsidRPr="005B1E1D">
        <w:rPr>
          <w:noProof/>
        </w:rPr>
        <w:drawing>
          <wp:anchor distT="0" distB="0" distL="114300" distR="114300" simplePos="0" relativeHeight="251658240" behindDoc="0" locked="0" layoutInCell="1" allowOverlap="1" wp14:anchorId="69F4C514" wp14:editId="45DE94B5">
            <wp:simplePos x="0" y="0"/>
            <wp:positionH relativeFrom="margin">
              <wp:align>center</wp:align>
            </wp:positionH>
            <wp:positionV relativeFrom="paragraph">
              <wp:posOffset>770890</wp:posOffset>
            </wp:positionV>
            <wp:extent cx="4251325" cy="3740150"/>
            <wp:effectExtent l="0" t="0" r="0" b="0"/>
            <wp:wrapTopAndBottom/>
            <wp:docPr id="668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0998" name=""/>
                    <pic:cNvPicPr/>
                  </pic:nvPicPr>
                  <pic:blipFill>
                    <a:blip r:embed="rId6">
                      <a:extLst>
                        <a:ext uri="{28A0092B-C50C-407E-A947-70E740481C1C}">
                          <a14:useLocalDpi xmlns:a14="http://schemas.microsoft.com/office/drawing/2010/main" val="0"/>
                        </a:ext>
                      </a:extLst>
                    </a:blip>
                    <a:stretch>
                      <a:fillRect/>
                    </a:stretch>
                  </pic:blipFill>
                  <pic:spPr>
                    <a:xfrm>
                      <a:off x="0" y="0"/>
                      <a:ext cx="4251325" cy="3740150"/>
                    </a:xfrm>
                    <a:prstGeom prst="rect">
                      <a:avLst/>
                    </a:prstGeom>
                  </pic:spPr>
                </pic:pic>
              </a:graphicData>
            </a:graphic>
          </wp:anchor>
        </w:drawing>
      </w:r>
      <w:r w:rsidRPr="005B1E1D">
        <w:t>Order-level profitability was classified into three tiers based on Order Profit Per Order. While 80.7% of orders are profitable, the 18.7% loss-making share represents a meaningful drag that is disproportionately concentrated among delayed shipments.</w:t>
      </w:r>
    </w:p>
    <w:p w14:paraId="741043A1" w14:textId="7DB5B386" w:rsidR="005B1E1D" w:rsidRDefault="005B1E1D" w:rsidP="005B1E1D"/>
    <w:p w14:paraId="47DD30F7" w14:textId="77777777" w:rsidR="005B1E1D" w:rsidRPr="005B1E1D" w:rsidRDefault="005B1E1D" w:rsidP="005B1E1D">
      <w:pPr>
        <w:rPr>
          <w:b/>
          <w:bCs/>
          <w:color w:val="2F5496" w:themeColor="accent1" w:themeShade="BF"/>
          <w:sz w:val="28"/>
          <w:szCs w:val="28"/>
        </w:rPr>
      </w:pPr>
      <w:r w:rsidRPr="005B1E1D">
        <w:rPr>
          <w:b/>
          <w:bCs/>
          <w:color w:val="2F5496" w:themeColor="accent1" w:themeShade="BF"/>
          <w:sz w:val="28"/>
          <w:szCs w:val="28"/>
        </w:rPr>
        <w:t>4.2 Delay Distribution &amp; Profit vs. Delay Days</w:t>
      </w:r>
    </w:p>
    <w:p w14:paraId="15948E07" w14:textId="24EAE5FD" w:rsidR="005B1E1D" w:rsidRDefault="005B1E1D" w:rsidP="005B1E1D">
      <w:r>
        <w:t>The delay distribution shows that 31.0% of all orders arrive exactly 1 day late the single largest cohort. Combined, orders delayed by 1-4 days account for 54.7% of all order volume, directly mapping to the overall late delivery rate.</w:t>
      </w:r>
    </w:p>
    <w:p w14:paraId="6CFE32E6" w14:textId="3E73796D" w:rsidR="005B1E1D" w:rsidRDefault="005B1E1D" w:rsidP="005B1E1D">
      <w:r w:rsidRPr="005B1E1D">
        <w:rPr>
          <w:noProof/>
        </w:rPr>
        <w:lastRenderedPageBreak/>
        <w:drawing>
          <wp:inline distT="0" distB="0" distL="0" distR="0" wp14:anchorId="6F062568" wp14:editId="0D6BA6AF">
            <wp:extent cx="5943600" cy="2242185"/>
            <wp:effectExtent l="0" t="0" r="0" b="5715"/>
            <wp:docPr id="13658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3640" name=""/>
                    <pic:cNvPicPr/>
                  </pic:nvPicPr>
                  <pic:blipFill>
                    <a:blip r:embed="rId7"/>
                    <a:stretch>
                      <a:fillRect/>
                    </a:stretch>
                  </pic:blipFill>
                  <pic:spPr>
                    <a:xfrm>
                      <a:off x="0" y="0"/>
                      <a:ext cx="5943600" cy="2242185"/>
                    </a:xfrm>
                    <a:prstGeom prst="rect">
                      <a:avLst/>
                    </a:prstGeom>
                  </pic:spPr>
                </pic:pic>
              </a:graphicData>
            </a:graphic>
          </wp:inline>
        </w:drawing>
      </w:r>
    </w:p>
    <w:p w14:paraId="47F71C54" w14:textId="1F2A03B6" w:rsidR="005B1E1D" w:rsidRDefault="005B1E1D" w:rsidP="005B1E1D">
      <w:pPr>
        <w:rPr>
          <w:i/>
          <w:iCs/>
          <w:sz w:val="20"/>
          <w:szCs w:val="20"/>
        </w:rPr>
      </w:pPr>
      <w:r w:rsidRPr="005B1E1D">
        <w:rPr>
          <w:i/>
          <w:iCs/>
          <w:sz w:val="20"/>
          <w:szCs w:val="20"/>
        </w:rPr>
        <w:t xml:space="preserve">       </w:t>
      </w:r>
      <w:r>
        <w:rPr>
          <w:i/>
          <w:iCs/>
          <w:sz w:val="20"/>
          <w:szCs w:val="20"/>
        </w:rPr>
        <w:t xml:space="preserve">                  </w:t>
      </w:r>
      <w:r w:rsidRPr="005B1E1D">
        <w:rPr>
          <w:i/>
          <w:iCs/>
          <w:sz w:val="20"/>
          <w:szCs w:val="20"/>
        </w:rPr>
        <w:t xml:space="preserve">   Figure 2: Delay Distribution (left) and Profit Analysis by Delay Days (right)</w:t>
      </w:r>
    </w:p>
    <w:p w14:paraId="208A8C20" w14:textId="76BC7D4F" w:rsidR="005B1E1D" w:rsidRDefault="005B1E1D" w:rsidP="005B1E1D">
      <w:pPr>
        <w:rPr>
          <w:sz w:val="20"/>
          <w:szCs w:val="20"/>
        </w:rPr>
      </w:pPr>
      <w:r w:rsidRPr="005B1E1D">
        <w:t>A critical observation: mean profit per order remains stable at approximately $21-$23 across all delay levels. The profitability problem is therefore driven by volume of delayed orders, not by individual order economics making systemic throughput improvement the highest-leverage intervention</w:t>
      </w:r>
      <w:r w:rsidRPr="005B1E1D">
        <w:rPr>
          <w:sz w:val="20"/>
          <w:szCs w:val="20"/>
        </w:rPr>
        <w:t>.</w:t>
      </w:r>
    </w:p>
    <w:p w14:paraId="03B1A315" w14:textId="77777777" w:rsidR="005B1E1D" w:rsidRPr="005B1E1D" w:rsidRDefault="005B1E1D" w:rsidP="005B1E1D">
      <w:pPr>
        <w:rPr>
          <w:b/>
          <w:bCs/>
          <w:color w:val="2F5496" w:themeColor="accent1" w:themeShade="BF"/>
          <w:sz w:val="28"/>
          <w:szCs w:val="28"/>
        </w:rPr>
      </w:pPr>
      <w:r w:rsidRPr="005B1E1D">
        <w:rPr>
          <w:b/>
          <w:bCs/>
          <w:color w:val="2F5496" w:themeColor="accent1" w:themeShade="BF"/>
          <w:sz w:val="28"/>
          <w:szCs w:val="28"/>
        </w:rPr>
        <w:t>5. Bottleneck Detection</w:t>
      </w:r>
    </w:p>
    <w:p w14:paraId="2527ED38" w14:textId="7290D0B6" w:rsidR="005B1E1D" w:rsidRDefault="005B1E1D" w:rsidP="005B1E1D">
      <w:r w:rsidRPr="005B1E1D">
        <w:t>Delay percentage was computed across six key operational dimensions. The charts below reveal where the fulfilment process breaks down most severely.</w:t>
      </w:r>
    </w:p>
    <w:p w14:paraId="7CBB2E4C" w14:textId="3FCC3D10" w:rsidR="005B1E1D" w:rsidRPr="005B1E1D" w:rsidRDefault="005B1E1D" w:rsidP="005B1E1D">
      <w:pPr>
        <w:jc w:val="center"/>
        <w:rPr>
          <w:b/>
          <w:bCs/>
          <w:color w:val="323E4F" w:themeColor="text2" w:themeShade="BF"/>
          <w:sz w:val="20"/>
          <w:szCs w:val="20"/>
        </w:rPr>
      </w:pPr>
      <w:r w:rsidRPr="005B1E1D">
        <w:rPr>
          <w:b/>
          <w:bCs/>
          <w:color w:val="323E4F" w:themeColor="text2" w:themeShade="BF"/>
          <w:sz w:val="20"/>
          <w:szCs w:val="20"/>
        </w:rPr>
        <w:t>Bottleneck Detection – Delay % by Category</w:t>
      </w:r>
    </w:p>
    <w:p w14:paraId="04DAA48D" w14:textId="7C954553" w:rsidR="005B1E1D" w:rsidRDefault="005B1E1D" w:rsidP="005B1E1D">
      <w:r w:rsidRPr="005B1E1D">
        <w:rPr>
          <w:noProof/>
        </w:rPr>
        <w:drawing>
          <wp:inline distT="0" distB="0" distL="0" distR="0" wp14:anchorId="059187A7" wp14:editId="2F1855C3">
            <wp:extent cx="5943600" cy="2645410"/>
            <wp:effectExtent l="0" t="0" r="0" b="2540"/>
            <wp:docPr id="17546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8668" name=""/>
                    <pic:cNvPicPr/>
                  </pic:nvPicPr>
                  <pic:blipFill>
                    <a:blip r:embed="rId8"/>
                    <a:stretch>
                      <a:fillRect/>
                    </a:stretch>
                  </pic:blipFill>
                  <pic:spPr>
                    <a:xfrm>
                      <a:off x="0" y="0"/>
                      <a:ext cx="5943600" cy="2645410"/>
                    </a:xfrm>
                    <a:prstGeom prst="rect">
                      <a:avLst/>
                    </a:prstGeom>
                  </pic:spPr>
                </pic:pic>
              </a:graphicData>
            </a:graphic>
          </wp:inline>
        </w:drawing>
      </w:r>
    </w:p>
    <w:p w14:paraId="177FB40F" w14:textId="0BC9A516" w:rsidR="005B1E1D" w:rsidRDefault="005B1E1D" w:rsidP="005B1E1D">
      <w:pPr>
        <w:rPr>
          <w:i/>
          <w:iCs/>
          <w:sz w:val="20"/>
          <w:szCs w:val="20"/>
        </w:rPr>
      </w:pPr>
      <w:r w:rsidRPr="005B1E1D">
        <w:rPr>
          <w:i/>
          <w:iCs/>
          <w:sz w:val="20"/>
          <w:szCs w:val="20"/>
        </w:rPr>
        <w:t>Figure 3: Delay % across six operational categories - Region, Segment, Shipping Mode, Order Status, Payment Type</w:t>
      </w:r>
      <w:r>
        <w:rPr>
          <w:i/>
          <w:iCs/>
          <w:sz w:val="20"/>
          <w:szCs w:val="20"/>
        </w:rPr>
        <w:t xml:space="preserve">, </w:t>
      </w:r>
      <w:r w:rsidRPr="005B1E1D">
        <w:rPr>
          <w:i/>
          <w:iCs/>
          <w:sz w:val="20"/>
          <w:szCs w:val="20"/>
        </w:rPr>
        <w:t>Departmen</w:t>
      </w:r>
      <w:r>
        <w:rPr>
          <w:i/>
          <w:iCs/>
          <w:sz w:val="20"/>
          <w:szCs w:val="20"/>
        </w:rPr>
        <w:t>t</w:t>
      </w:r>
    </w:p>
    <w:p w14:paraId="6DC27C29" w14:textId="77777777" w:rsidR="005B1E1D" w:rsidRDefault="005B1E1D" w:rsidP="005B1E1D">
      <w:pPr>
        <w:rPr>
          <w:i/>
          <w:iCs/>
          <w:sz w:val="20"/>
          <w:szCs w:val="20"/>
        </w:rPr>
      </w:pPr>
    </w:p>
    <w:tbl>
      <w:tblPr>
        <w:tblStyle w:val="TableGrid"/>
        <w:tblW w:w="9540" w:type="dxa"/>
        <w:tblInd w:w="-95" w:type="dxa"/>
        <w:tblLook w:val="04A0" w:firstRow="1" w:lastRow="0" w:firstColumn="1" w:lastColumn="0" w:noHBand="0" w:noVBand="1"/>
      </w:tblPr>
      <w:tblGrid>
        <w:gridCol w:w="2700"/>
        <w:gridCol w:w="6840"/>
      </w:tblGrid>
      <w:tr w:rsidR="005B1E1D" w14:paraId="2D14C0F6" w14:textId="77777777" w:rsidTr="005B1E1D">
        <w:tc>
          <w:tcPr>
            <w:tcW w:w="2700" w:type="dxa"/>
            <w:shd w:val="clear" w:color="auto" w:fill="D5DCE4" w:themeFill="text2" w:themeFillTint="33"/>
            <w:vAlign w:val="center"/>
          </w:tcPr>
          <w:p w14:paraId="0F7C1AE7" w14:textId="74588B41" w:rsidR="005B1E1D" w:rsidRPr="005B1E1D" w:rsidRDefault="005B1E1D" w:rsidP="005B1E1D">
            <w:pPr>
              <w:jc w:val="center"/>
              <w:rPr>
                <w:b/>
                <w:bCs/>
              </w:rPr>
            </w:pPr>
            <w:r w:rsidRPr="005B1E1D">
              <w:rPr>
                <w:b/>
                <w:bCs/>
              </w:rPr>
              <w:lastRenderedPageBreak/>
              <w:t>Shipping Mode</w:t>
            </w:r>
          </w:p>
        </w:tc>
        <w:tc>
          <w:tcPr>
            <w:tcW w:w="6840" w:type="dxa"/>
            <w:shd w:val="clear" w:color="auto" w:fill="D5DCE4" w:themeFill="text2" w:themeFillTint="33"/>
          </w:tcPr>
          <w:p w14:paraId="2720B6E2" w14:textId="091D91F6" w:rsidR="005B1E1D" w:rsidRPr="005B1E1D" w:rsidRDefault="005B1E1D" w:rsidP="005B1E1D">
            <w:r w:rsidRPr="005B1E1D">
              <w:t>First Class: 100% delay rate. Second Class: 79.8%. Standard Class: 39.8%. Same Day: 0%. The mode assignment logic is the most impactful single variable to fix.</w:t>
            </w:r>
          </w:p>
        </w:tc>
      </w:tr>
    </w:tbl>
    <w:p w14:paraId="74C7271D" w14:textId="77777777" w:rsidR="005B1E1D" w:rsidRDefault="005B1E1D" w:rsidP="005B1E1D">
      <w:pPr>
        <w:rPr>
          <w:i/>
          <w:iCs/>
          <w:sz w:val="20"/>
          <w:szCs w:val="20"/>
        </w:rPr>
      </w:pPr>
    </w:p>
    <w:tbl>
      <w:tblPr>
        <w:tblStyle w:val="TableGrid"/>
        <w:tblW w:w="9540" w:type="dxa"/>
        <w:tblInd w:w="-95" w:type="dxa"/>
        <w:tblLook w:val="04A0" w:firstRow="1" w:lastRow="0" w:firstColumn="1" w:lastColumn="0" w:noHBand="0" w:noVBand="1"/>
      </w:tblPr>
      <w:tblGrid>
        <w:gridCol w:w="2700"/>
        <w:gridCol w:w="6840"/>
      </w:tblGrid>
      <w:tr w:rsidR="005B1E1D" w14:paraId="548D8382" w14:textId="77777777" w:rsidTr="005B1E1D">
        <w:tc>
          <w:tcPr>
            <w:tcW w:w="2700" w:type="dxa"/>
            <w:shd w:val="clear" w:color="auto" w:fill="D5DCE4" w:themeFill="text2" w:themeFillTint="33"/>
            <w:vAlign w:val="center"/>
          </w:tcPr>
          <w:p w14:paraId="23EB14E8" w14:textId="77777777" w:rsidR="005B1E1D" w:rsidRPr="005B1E1D" w:rsidRDefault="005B1E1D" w:rsidP="005B1E1D">
            <w:pPr>
              <w:jc w:val="center"/>
              <w:rPr>
                <w:b/>
                <w:bCs/>
              </w:rPr>
            </w:pPr>
            <w:r w:rsidRPr="005B1E1D">
              <w:rPr>
                <w:b/>
                <w:bCs/>
              </w:rPr>
              <w:t>Regional Spread is Narrow (55-59%)</w:t>
            </w:r>
          </w:p>
          <w:p w14:paraId="05D8D034" w14:textId="77777777" w:rsidR="005B1E1D" w:rsidRDefault="005B1E1D" w:rsidP="005B1E1D">
            <w:pPr>
              <w:jc w:val="center"/>
              <w:rPr>
                <w:sz w:val="20"/>
                <w:szCs w:val="20"/>
              </w:rPr>
            </w:pPr>
          </w:p>
        </w:tc>
        <w:tc>
          <w:tcPr>
            <w:tcW w:w="6840" w:type="dxa"/>
            <w:shd w:val="clear" w:color="auto" w:fill="D5DCE4" w:themeFill="text2" w:themeFillTint="33"/>
          </w:tcPr>
          <w:p w14:paraId="69B80B11" w14:textId="0B5098BE" w:rsidR="005B1E1D" w:rsidRPr="005B1E1D" w:rsidRDefault="005B1E1D" w:rsidP="005B1E1D">
            <w:r w:rsidRPr="005B1E1D">
              <w:t>Central Africa leads at 58.7% but all regions cluster between 55-59%. This rules out a localized logistics failure and confirms a company-wide systemic issue.</w:t>
            </w:r>
          </w:p>
        </w:tc>
      </w:tr>
    </w:tbl>
    <w:p w14:paraId="12A7B98D" w14:textId="77777777" w:rsidR="005B1E1D" w:rsidRDefault="005B1E1D" w:rsidP="005B1E1D">
      <w:pPr>
        <w:rPr>
          <w:sz w:val="20"/>
          <w:szCs w:val="20"/>
        </w:rPr>
      </w:pPr>
    </w:p>
    <w:tbl>
      <w:tblPr>
        <w:tblStyle w:val="TableGrid"/>
        <w:tblW w:w="9540" w:type="dxa"/>
        <w:tblInd w:w="-95" w:type="dxa"/>
        <w:tblLook w:val="04A0" w:firstRow="1" w:lastRow="0" w:firstColumn="1" w:lastColumn="0" w:noHBand="0" w:noVBand="1"/>
      </w:tblPr>
      <w:tblGrid>
        <w:gridCol w:w="2700"/>
        <w:gridCol w:w="6840"/>
      </w:tblGrid>
      <w:tr w:rsidR="005B1E1D" w14:paraId="219AE888" w14:textId="77777777" w:rsidTr="005B1E1D">
        <w:tc>
          <w:tcPr>
            <w:tcW w:w="2700" w:type="dxa"/>
            <w:shd w:val="clear" w:color="auto" w:fill="D5DCE4" w:themeFill="text2" w:themeFillTint="33"/>
            <w:vAlign w:val="center"/>
          </w:tcPr>
          <w:p w14:paraId="4BFA8F84" w14:textId="1AB1DAB6" w:rsidR="005B1E1D" w:rsidRPr="005B1E1D" w:rsidRDefault="005B1E1D" w:rsidP="005B1E1D">
            <w:pPr>
              <w:jc w:val="center"/>
              <w:rPr>
                <w:b/>
                <w:bCs/>
              </w:rPr>
            </w:pPr>
            <w:r w:rsidRPr="005B1E1D">
              <w:rPr>
                <w:b/>
                <w:bCs/>
              </w:rPr>
              <w:t>Customer Segments Nearly Identical (54.5-55.4%)</w:t>
            </w:r>
          </w:p>
        </w:tc>
        <w:tc>
          <w:tcPr>
            <w:tcW w:w="6840" w:type="dxa"/>
            <w:shd w:val="clear" w:color="auto" w:fill="D5DCE4" w:themeFill="text2" w:themeFillTint="33"/>
          </w:tcPr>
          <w:p w14:paraId="666090AB" w14:textId="79485359" w:rsidR="005B1E1D" w:rsidRPr="005B1E1D" w:rsidRDefault="005B1E1D" w:rsidP="005B1E1D">
            <w:r w:rsidRPr="005B1E1D">
              <w:t>No segment receives preferential service. All customers - Consumer, Corporate, Home Office experience the same broken delivery promise.</w:t>
            </w:r>
          </w:p>
        </w:tc>
      </w:tr>
    </w:tbl>
    <w:p w14:paraId="656555CF" w14:textId="77777777" w:rsidR="005B1E1D" w:rsidRDefault="005B1E1D" w:rsidP="005B1E1D">
      <w:pPr>
        <w:rPr>
          <w:sz w:val="20"/>
          <w:szCs w:val="20"/>
        </w:rPr>
      </w:pPr>
    </w:p>
    <w:tbl>
      <w:tblPr>
        <w:tblStyle w:val="TableGrid"/>
        <w:tblW w:w="9540" w:type="dxa"/>
        <w:tblInd w:w="-95" w:type="dxa"/>
        <w:tblLook w:val="04A0" w:firstRow="1" w:lastRow="0" w:firstColumn="1" w:lastColumn="0" w:noHBand="0" w:noVBand="1"/>
      </w:tblPr>
      <w:tblGrid>
        <w:gridCol w:w="2700"/>
        <w:gridCol w:w="6840"/>
      </w:tblGrid>
      <w:tr w:rsidR="005B1E1D" w14:paraId="2890A64F" w14:textId="77777777" w:rsidTr="005B1E1D">
        <w:tc>
          <w:tcPr>
            <w:tcW w:w="2700" w:type="dxa"/>
            <w:shd w:val="clear" w:color="auto" w:fill="D5DCE4" w:themeFill="text2" w:themeFillTint="33"/>
          </w:tcPr>
          <w:p w14:paraId="373C50D3" w14:textId="31F85F99" w:rsidR="005B1E1D" w:rsidRPr="005B1E1D" w:rsidRDefault="005B1E1D" w:rsidP="005B1E1D">
            <w:pPr>
              <w:rPr>
                <w:b/>
                <w:bCs/>
              </w:rPr>
            </w:pPr>
            <w:r w:rsidRPr="005B1E1D">
              <w:rPr>
                <w:b/>
                <w:bCs/>
              </w:rPr>
              <w:t>Health &amp; Beauty (56.9%) and Pet Shop (56.6%) Lead by Department</w:t>
            </w:r>
          </w:p>
        </w:tc>
        <w:tc>
          <w:tcPr>
            <w:tcW w:w="6840" w:type="dxa"/>
            <w:shd w:val="clear" w:color="auto" w:fill="D5DCE4" w:themeFill="text2" w:themeFillTint="33"/>
          </w:tcPr>
          <w:p w14:paraId="1FF58233" w14:textId="1218E341" w:rsidR="005B1E1D" w:rsidRPr="005B1E1D" w:rsidRDefault="005B1E1D" w:rsidP="005B1E1D">
            <w:r w:rsidRPr="005B1E1D">
              <w:t>These departments marginally outpace others in delay rate, warranting an inventory and carrier audit for these product categories.</w:t>
            </w:r>
          </w:p>
        </w:tc>
      </w:tr>
    </w:tbl>
    <w:p w14:paraId="69C32AFE" w14:textId="77777777" w:rsidR="005B1E1D" w:rsidRPr="005B1E1D" w:rsidRDefault="005B1E1D" w:rsidP="005B1E1D">
      <w:pPr>
        <w:rPr>
          <w:b/>
          <w:bCs/>
          <w:sz w:val="20"/>
          <w:szCs w:val="20"/>
        </w:rPr>
      </w:pPr>
    </w:p>
    <w:p w14:paraId="64229D55" w14:textId="08D95F4A" w:rsidR="005B1E1D" w:rsidRDefault="005B1E1D" w:rsidP="005B1E1D">
      <w:pPr>
        <w:rPr>
          <w:b/>
          <w:bCs/>
          <w:sz w:val="40"/>
          <w:szCs w:val="40"/>
        </w:rPr>
      </w:pPr>
      <w:r w:rsidRPr="005B1E1D">
        <w:rPr>
          <w:b/>
          <w:bCs/>
          <w:sz w:val="40"/>
          <w:szCs w:val="40"/>
        </w:rPr>
        <w:t>6.Root Cause Analysis</w:t>
      </w:r>
    </w:p>
    <w:p w14:paraId="4A360C55" w14:textId="3AABFB92" w:rsidR="005B1E1D" w:rsidRDefault="005B1E1D" w:rsidP="005B1E1D">
      <w:r w:rsidRPr="005B1E1D">
        <w:t>Central Africa was selected for deep-dive root cause analysis as the highest-delay region (58.7%). The chart below ranks the top 10 driver factors by delay percentage within this region.</w:t>
      </w:r>
    </w:p>
    <w:p w14:paraId="69441680" w14:textId="08BD7998" w:rsidR="005B1E1D" w:rsidRDefault="005B1E1D" w:rsidP="005B1E1D">
      <w:pPr>
        <w:jc w:val="center"/>
        <w:rPr>
          <w:b/>
          <w:bCs/>
          <w:color w:val="323E4F" w:themeColor="text2" w:themeShade="BF"/>
        </w:rPr>
      </w:pPr>
      <w:r w:rsidRPr="005B1E1D">
        <w:rPr>
          <w:b/>
          <w:bCs/>
          <w:color w:val="323E4F" w:themeColor="text2" w:themeShade="BF"/>
        </w:rPr>
        <w:t>Top Drivers of Late Delivery in Central Africa</w:t>
      </w:r>
    </w:p>
    <w:p w14:paraId="7CAE882E" w14:textId="0B271FC9" w:rsidR="005B1E1D" w:rsidRDefault="005B1E1D" w:rsidP="005B1E1D">
      <w:pPr>
        <w:jc w:val="center"/>
        <w:rPr>
          <w:b/>
          <w:bCs/>
          <w:color w:val="323E4F" w:themeColor="text2" w:themeShade="BF"/>
        </w:rPr>
      </w:pPr>
      <w:r w:rsidRPr="005B1E1D">
        <w:rPr>
          <w:b/>
          <w:bCs/>
          <w:noProof/>
          <w:color w:val="323E4F" w:themeColor="text2" w:themeShade="BF"/>
        </w:rPr>
        <w:drawing>
          <wp:inline distT="0" distB="0" distL="0" distR="0" wp14:anchorId="1E0CF51B" wp14:editId="5AC7100F">
            <wp:extent cx="5943600" cy="2979420"/>
            <wp:effectExtent l="0" t="0" r="0" b="0"/>
            <wp:docPr id="202979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6559" name=""/>
                    <pic:cNvPicPr/>
                  </pic:nvPicPr>
                  <pic:blipFill>
                    <a:blip r:embed="rId9"/>
                    <a:stretch>
                      <a:fillRect/>
                    </a:stretch>
                  </pic:blipFill>
                  <pic:spPr>
                    <a:xfrm>
                      <a:off x="0" y="0"/>
                      <a:ext cx="5943600" cy="2979420"/>
                    </a:xfrm>
                    <a:prstGeom prst="rect">
                      <a:avLst/>
                    </a:prstGeom>
                  </pic:spPr>
                </pic:pic>
              </a:graphicData>
            </a:graphic>
          </wp:inline>
        </w:drawing>
      </w:r>
    </w:p>
    <w:p w14:paraId="1C265BC6" w14:textId="724EF818" w:rsidR="005B1E1D" w:rsidRDefault="005B1E1D" w:rsidP="005B1E1D">
      <w:pPr>
        <w:jc w:val="center"/>
        <w:rPr>
          <w:i/>
          <w:iCs/>
          <w:color w:val="323E4F" w:themeColor="text2" w:themeShade="BF"/>
          <w:sz w:val="20"/>
          <w:szCs w:val="20"/>
        </w:rPr>
      </w:pPr>
      <w:r w:rsidRPr="005B1E1D">
        <w:rPr>
          <w:i/>
          <w:iCs/>
          <w:color w:val="323E4F" w:themeColor="text2" w:themeShade="BF"/>
          <w:sz w:val="20"/>
          <w:szCs w:val="20"/>
        </w:rPr>
        <w:t>Figure 4: Top 10 Drivers of Late Delivery in Central Africa – ranked by delay percentage</w:t>
      </w:r>
    </w:p>
    <w:p w14:paraId="3AEB9B3E" w14:textId="77777777" w:rsidR="005B1E1D" w:rsidRPr="005B1E1D" w:rsidRDefault="005B1E1D" w:rsidP="005B1E1D">
      <w:pPr>
        <w:rPr>
          <w:b/>
          <w:bCs/>
          <w:color w:val="000000" w:themeColor="text1"/>
          <w:sz w:val="40"/>
          <w:szCs w:val="40"/>
        </w:rPr>
      </w:pPr>
      <w:r w:rsidRPr="005B1E1D">
        <w:rPr>
          <w:b/>
          <w:bCs/>
          <w:color w:val="000000" w:themeColor="text1"/>
          <w:sz w:val="40"/>
          <w:szCs w:val="40"/>
        </w:rPr>
        <w:lastRenderedPageBreak/>
        <w:t>7. Time-Based Delay Patterns</w:t>
      </w:r>
    </w:p>
    <w:p w14:paraId="6391EE43" w14:textId="015C9338" w:rsidR="005B1E1D" w:rsidRDefault="005B1E1D" w:rsidP="005B1E1D">
      <w:pPr>
        <w:rPr>
          <w:color w:val="000000" w:themeColor="text1"/>
        </w:rPr>
      </w:pPr>
      <w:r w:rsidRPr="005B1E1D">
        <w:rPr>
          <w:color w:val="000000" w:themeColor="text1"/>
        </w:rPr>
        <w:t>Three temporal dimensions were analy</w:t>
      </w:r>
      <w:r>
        <w:rPr>
          <w:color w:val="000000" w:themeColor="text1"/>
        </w:rPr>
        <w:t>z</w:t>
      </w:r>
      <w:r w:rsidRPr="005B1E1D">
        <w:rPr>
          <w:color w:val="000000" w:themeColor="text1"/>
        </w:rPr>
        <w:t xml:space="preserve">ed: </w:t>
      </w:r>
      <w:r>
        <w:rPr>
          <w:color w:val="000000" w:themeColor="text1"/>
        </w:rPr>
        <w:t>m</w:t>
      </w:r>
      <w:r w:rsidRPr="005B1E1D">
        <w:rPr>
          <w:color w:val="000000" w:themeColor="text1"/>
        </w:rPr>
        <w:t>onth of year, day of week, and hour of day. While delay rates are relatively stable across all dimensions (53-57%), specific peaks highlight opportunities for targeted capacity planning.</w:t>
      </w:r>
    </w:p>
    <w:p w14:paraId="689E4961" w14:textId="7C7FF695" w:rsidR="005B1E1D" w:rsidRDefault="005B1E1D" w:rsidP="005B1E1D">
      <w:pPr>
        <w:jc w:val="center"/>
        <w:rPr>
          <w:color w:val="000000" w:themeColor="text1"/>
        </w:rPr>
      </w:pPr>
      <w:r w:rsidRPr="005B1E1D">
        <w:rPr>
          <w:noProof/>
          <w:color w:val="000000" w:themeColor="text1"/>
        </w:rPr>
        <w:drawing>
          <wp:inline distT="0" distB="0" distL="0" distR="0" wp14:anchorId="5423B9D3" wp14:editId="2A0B799E">
            <wp:extent cx="6370320" cy="2194560"/>
            <wp:effectExtent l="0" t="0" r="0" b="0"/>
            <wp:docPr id="2687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1253" name=""/>
                    <pic:cNvPicPr/>
                  </pic:nvPicPr>
                  <pic:blipFill>
                    <a:blip r:embed="rId10">
                      <a:extLst>
                        <a:ext uri="{28A0092B-C50C-407E-A947-70E740481C1C}">
                          <a14:useLocalDpi xmlns:a14="http://schemas.microsoft.com/office/drawing/2010/main" val="0"/>
                        </a:ext>
                      </a:extLst>
                    </a:blip>
                    <a:stretch>
                      <a:fillRect/>
                    </a:stretch>
                  </pic:blipFill>
                  <pic:spPr>
                    <a:xfrm>
                      <a:off x="0" y="0"/>
                      <a:ext cx="6370320" cy="2194560"/>
                    </a:xfrm>
                    <a:prstGeom prst="rect">
                      <a:avLst/>
                    </a:prstGeom>
                  </pic:spPr>
                </pic:pic>
              </a:graphicData>
            </a:graphic>
          </wp:inline>
        </w:drawing>
      </w:r>
    </w:p>
    <w:p w14:paraId="24858FCD" w14:textId="745C2DD4" w:rsidR="005B1E1D" w:rsidRDefault="005B1E1D" w:rsidP="005B1E1D">
      <w:pPr>
        <w:jc w:val="center"/>
        <w:rPr>
          <w:i/>
          <w:iCs/>
          <w:color w:val="000000" w:themeColor="text1"/>
          <w:sz w:val="20"/>
          <w:szCs w:val="20"/>
        </w:rPr>
      </w:pPr>
      <w:r w:rsidRPr="005B1E1D">
        <w:rPr>
          <w:i/>
          <w:iCs/>
          <w:color w:val="000000" w:themeColor="text1"/>
          <w:sz w:val="20"/>
          <w:szCs w:val="20"/>
        </w:rPr>
        <w:t>Figure 5: Delay % by Month (left), Day of Week (center), and Hour of Day (right) - red annotations mark the top 3 peaks in each dimension</w:t>
      </w:r>
    </w:p>
    <w:tbl>
      <w:tblPr>
        <w:tblStyle w:val="TableGrid"/>
        <w:tblW w:w="9540" w:type="dxa"/>
        <w:tblInd w:w="-95" w:type="dxa"/>
        <w:tblLook w:val="04A0" w:firstRow="1" w:lastRow="0" w:firstColumn="1" w:lastColumn="0" w:noHBand="0" w:noVBand="1"/>
      </w:tblPr>
      <w:tblGrid>
        <w:gridCol w:w="2340"/>
        <w:gridCol w:w="7200"/>
      </w:tblGrid>
      <w:tr w:rsidR="005B1E1D" w14:paraId="1CF9FC40" w14:textId="77777777" w:rsidTr="005B1E1D">
        <w:tc>
          <w:tcPr>
            <w:tcW w:w="2340" w:type="dxa"/>
            <w:shd w:val="clear" w:color="auto" w:fill="D5DCE4" w:themeFill="text2" w:themeFillTint="33"/>
            <w:vAlign w:val="center"/>
          </w:tcPr>
          <w:p w14:paraId="09EE5913" w14:textId="0250EECA" w:rsidR="005B1E1D" w:rsidRPr="005B1E1D" w:rsidRDefault="005B1E1D" w:rsidP="005B1E1D">
            <w:pPr>
              <w:jc w:val="center"/>
              <w:rPr>
                <w:b/>
                <w:bCs/>
                <w:color w:val="000000" w:themeColor="text1"/>
              </w:rPr>
            </w:pPr>
            <w:r w:rsidRPr="005B1E1D">
              <w:rPr>
                <w:b/>
                <w:bCs/>
                <w:color w:val="000000" w:themeColor="text1"/>
              </w:rPr>
              <w:t>Peak Delay Months:</w:t>
            </w:r>
          </w:p>
          <w:p w14:paraId="0907CA4E" w14:textId="17DBE414" w:rsidR="005B1E1D" w:rsidRDefault="005B1E1D" w:rsidP="005B1E1D">
            <w:pPr>
              <w:jc w:val="center"/>
              <w:rPr>
                <w:color w:val="000000" w:themeColor="text1"/>
              </w:rPr>
            </w:pPr>
            <w:r w:rsidRPr="005B1E1D">
              <w:rPr>
                <w:b/>
                <w:bCs/>
                <w:color w:val="000000" w:themeColor="text1"/>
              </w:rPr>
              <w:t>August &amp; September (55.4%) and December (55.2%)</w:t>
            </w:r>
          </w:p>
        </w:tc>
        <w:tc>
          <w:tcPr>
            <w:tcW w:w="7200" w:type="dxa"/>
            <w:shd w:val="clear" w:color="auto" w:fill="D5DCE4" w:themeFill="text2" w:themeFillTint="33"/>
          </w:tcPr>
          <w:p w14:paraId="0AE8B87B" w14:textId="73537499" w:rsidR="005B1E1D" w:rsidRDefault="005B1E1D" w:rsidP="005B1E1D">
            <w:pPr>
              <w:rPr>
                <w:color w:val="000000" w:themeColor="text1"/>
              </w:rPr>
            </w:pPr>
            <w:r w:rsidRPr="005B1E1D">
              <w:rPr>
                <w:color w:val="000000" w:themeColor="text1"/>
              </w:rPr>
              <w:t>August and September are the highest months at 55.4%, with December close behind. These reflect mid-year promotions and Q4 holiday surge overwhelming fulfilment capacity. July represents notable low-point (~53.75%), confirming seasonal variation is</w:t>
            </w:r>
            <w:r>
              <w:rPr>
                <w:color w:val="000000" w:themeColor="text1"/>
              </w:rPr>
              <w:t xml:space="preserve"> </w:t>
            </w:r>
            <w:r w:rsidRPr="005B1E1D">
              <w:rPr>
                <w:color w:val="000000" w:themeColor="text1"/>
              </w:rPr>
              <w:t>plannable.</w:t>
            </w:r>
          </w:p>
        </w:tc>
      </w:tr>
    </w:tbl>
    <w:p w14:paraId="1CECD38F" w14:textId="77777777" w:rsidR="005B1E1D" w:rsidRDefault="005B1E1D" w:rsidP="005B1E1D">
      <w:pPr>
        <w:rPr>
          <w:color w:val="000000" w:themeColor="text1"/>
        </w:rPr>
      </w:pPr>
    </w:p>
    <w:tbl>
      <w:tblPr>
        <w:tblStyle w:val="TableGrid"/>
        <w:tblW w:w="9540" w:type="dxa"/>
        <w:tblInd w:w="-95" w:type="dxa"/>
        <w:tblLook w:val="04A0" w:firstRow="1" w:lastRow="0" w:firstColumn="1" w:lastColumn="0" w:noHBand="0" w:noVBand="1"/>
      </w:tblPr>
      <w:tblGrid>
        <w:gridCol w:w="2340"/>
        <w:gridCol w:w="7200"/>
      </w:tblGrid>
      <w:tr w:rsidR="005B1E1D" w14:paraId="45DBF105" w14:textId="77777777" w:rsidTr="005B1E1D">
        <w:trPr>
          <w:trHeight w:val="1007"/>
        </w:trPr>
        <w:tc>
          <w:tcPr>
            <w:tcW w:w="2340" w:type="dxa"/>
            <w:shd w:val="clear" w:color="auto" w:fill="D5DCE4" w:themeFill="text2" w:themeFillTint="33"/>
            <w:vAlign w:val="center"/>
          </w:tcPr>
          <w:p w14:paraId="5D20B505" w14:textId="3FDEE428" w:rsidR="005B1E1D" w:rsidRPr="005B1E1D" w:rsidRDefault="005B1E1D" w:rsidP="005B1E1D">
            <w:pPr>
              <w:jc w:val="center"/>
              <w:rPr>
                <w:b/>
                <w:bCs/>
                <w:color w:val="000000" w:themeColor="text1"/>
              </w:rPr>
            </w:pPr>
            <w:r w:rsidRPr="005B1E1D">
              <w:rPr>
                <w:b/>
                <w:bCs/>
                <w:color w:val="000000" w:themeColor="text1"/>
              </w:rPr>
              <w:t>Day-of-Week Variance is Minimal</w:t>
            </w:r>
          </w:p>
        </w:tc>
        <w:tc>
          <w:tcPr>
            <w:tcW w:w="7200" w:type="dxa"/>
            <w:shd w:val="clear" w:color="auto" w:fill="D5DCE4" w:themeFill="text2" w:themeFillTint="33"/>
          </w:tcPr>
          <w:p w14:paraId="4ACD6D03" w14:textId="2ED1E195" w:rsidR="005B1E1D" w:rsidRDefault="005B1E1D" w:rsidP="005B1E1D">
            <w:pPr>
              <w:rPr>
                <w:color w:val="000000" w:themeColor="text1"/>
              </w:rPr>
            </w:pPr>
            <w:r w:rsidRPr="005B1E1D">
              <w:rPr>
                <w:color w:val="000000" w:themeColor="text1"/>
              </w:rPr>
              <w:t>Monday (55.5%) and Sunday (55.2%) are the peak days, but the spread across the week is less than 1 percentage point. Day-of-week is not a meaningful lever for operational intervention.</w:t>
            </w:r>
          </w:p>
        </w:tc>
      </w:tr>
    </w:tbl>
    <w:p w14:paraId="735BBFDC" w14:textId="45AE17C5" w:rsidR="005B1E1D" w:rsidRDefault="005B1E1D" w:rsidP="005B1E1D">
      <w:pPr>
        <w:rPr>
          <w:color w:val="000000" w:themeColor="text1"/>
        </w:rPr>
      </w:pPr>
      <w:r>
        <w:rPr>
          <w:color w:val="000000" w:themeColor="text1"/>
        </w:rPr>
        <w:t xml:space="preserve"> </w:t>
      </w:r>
    </w:p>
    <w:tbl>
      <w:tblPr>
        <w:tblStyle w:val="TableGrid"/>
        <w:tblW w:w="9540" w:type="dxa"/>
        <w:tblInd w:w="-95" w:type="dxa"/>
        <w:tblLook w:val="04A0" w:firstRow="1" w:lastRow="0" w:firstColumn="1" w:lastColumn="0" w:noHBand="0" w:noVBand="1"/>
      </w:tblPr>
      <w:tblGrid>
        <w:gridCol w:w="2340"/>
        <w:gridCol w:w="7200"/>
      </w:tblGrid>
      <w:tr w:rsidR="005B1E1D" w14:paraId="4A2C9791" w14:textId="77777777" w:rsidTr="005B1E1D">
        <w:trPr>
          <w:trHeight w:val="1007"/>
        </w:trPr>
        <w:tc>
          <w:tcPr>
            <w:tcW w:w="2340" w:type="dxa"/>
            <w:shd w:val="clear" w:color="auto" w:fill="D5DCE4" w:themeFill="text2" w:themeFillTint="33"/>
          </w:tcPr>
          <w:p w14:paraId="7AF2C135" w14:textId="52954F85" w:rsidR="005B1E1D" w:rsidRPr="005B1E1D" w:rsidRDefault="005B1E1D" w:rsidP="005B1E1D">
            <w:pPr>
              <w:rPr>
                <w:b/>
                <w:bCs/>
                <w:color w:val="000000" w:themeColor="text1"/>
              </w:rPr>
            </w:pPr>
            <w:r w:rsidRPr="005B1E1D">
              <w:rPr>
                <w:b/>
                <w:bCs/>
                <w:color w:val="000000" w:themeColor="text1"/>
              </w:rPr>
              <w:t>Intra-Day Peaks: Hour 21 (57.1%), Hour 11 (56.7%), Hour 12 (56.0%)</w:t>
            </w:r>
          </w:p>
        </w:tc>
        <w:tc>
          <w:tcPr>
            <w:tcW w:w="7200" w:type="dxa"/>
            <w:shd w:val="clear" w:color="auto" w:fill="D5DCE4" w:themeFill="text2" w:themeFillTint="33"/>
          </w:tcPr>
          <w:p w14:paraId="4DEAF7AD" w14:textId="09EDC951" w:rsidR="005B1E1D" w:rsidRDefault="005B1E1D" w:rsidP="005B1E1D">
            <w:pPr>
              <w:rPr>
                <w:color w:val="000000" w:themeColor="text1"/>
              </w:rPr>
            </w:pPr>
            <w:r w:rsidRPr="005B1E1D">
              <w:rPr>
                <w:color w:val="000000" w:themeColor="text1"/>
              </w:rPr>
              <w:t>Late-evening orders (hour 21) have the highest delay rate at 57.1%, likely reflecting processing cutoff windows. Midday peaks suggest bottlenecks during peak-volume hours.</w:t>
            </w:r>
          </w:p>
        </w:tc>
      </w:tr>
    </w:tbl>
    <w:p w14:paraId="5235E114" w14:textId="77777777" w:rsidR="005B1E1D" w:rsidRDefault="005B1E1D" w:rsidP="005B1E1D">
      <w:pPr>
        <w:rPr>
          <w:b/>
          <w:bCs/>
          <w:color w:val="000000" w:themeColor="text1"/>
          <w:sz w:val="40"/>
          <w:szCs w:val="40"/>
        </w:rPr>
      </w:pPr>
    </w:p>
    <w:p w14:paraId="6E631CA2" w14:textId="2652D158" w:rsidR="005B1E1D" w:rsidRDefault="005B1E1D" w:rsidP="005B1E1D">
      <w:pPr>
        <w:rPr>
          <w:b/>
          <w:bCs/>
          <w:color w:val="000000" w:themeColor="text1"/>
          <w:sz w:val="40"/>
          <w:szCs w:val="40"/>
        </w:rPr>
      </w:pPr>
      <w:r>
        <w:rPr>
          <w:b/>
          <w:bCs/>
          <w:color w:val="000000" w:themeColor="text1"/>
          <w:sz w:val="40"/>
          <w:szCs w:val="40"/>
        </w:rPr>
        <w:t>8</w:t>
      </w:r>
      <w:r w:rsidRPr="005B1E1D">
        <w:rPr>
          <w:b/>
          <w:bCs/>
          <w:color w:val="000000" w:themeColor="text1"/>
          <w:sz w:val="40"/>
          <w:szCs w:val="40"/>
        </w:rPr>
        <w:t xml:space="preserve">.Machine Learning Model Results </w:t>
      </w:r>
    </w:p>
    <w:p w14:paraId="485C821B" w14:textId="79454DED" w:rsidR="005B1E1D" w:rsidRDefault="005B1E1D" w:rsidP="005B1E1D">
      <w:pPr>
        <w:rPr>
          <w:color w:val="000000" w:themeColor="text1"/>
        </w:rPr>
      </w:pPr>
      <w:r w:rsidRPr="005B1E1D">
        <w:rPr>
          <w:color w:val="000000" w:themeColor="text1"/>
        </w:rPr>
        <w:t xml:space="preserve">A supervised classification model was built to predict whether an individual order will be delivered late (late_delivery_risk = 1). The pipeline included frequency encoding of categorical </w:t>
      </w:r>
      <w:r w:rsidRPr="005B1E1D">
        <w:rPr>
          <w:color w:val="000000" w:themeColor="text1"/>
        </w:rPr>
        <w:lastRenderedPageBreak/>
        <w:t xml:space="preserve">variables, stratified train/test split, SMOTE oversampling to address class imbalance, and Random Forest classification. </w:t>
      </w:r>
    </w:p>
    <w:p w14:paraId="7D17341B" w14:textId="14D7D16C"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Imbalance handling (SMOTE)</w:t>
      </w:r>
    </w:p>
    <w:tbl>
      <w:tblPr>
        <w:tblStyle w:val="PlainTable1"/>
        <w:tblW w:w="0" w:type="auto"/>
        <w:tblLook w:val="04A0" w:firstRow="1" w:lastRow="0" w:firstColumn="1" w:lastColumn="0" w:noHBand="0" w:noVBand="1"/>
      </w:tblPr>
      <w:tblGrid>
        <w:gridCol w:w="3116"/>
        <w:gridCol w:w="3117"/>
        <w:gridCol w:w="3117"/>
      </w:tblGrid>
      <w:tr w:rsidR="005B1E1D" w14:paraId="2981CE2F" w14:textId="77777777" w:rsidTr="005B1E1D">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116" w:type="dxa"/>
            <w:shd w:val="clear" w:color="auto" w:fill="2F5496" w:themeFill="accent1" w:themeFillShade="BF"/>
          </w:tcPr>
          <w:p w14:paraId="320E681C" w14:textId="5F9D46C6" w:rsidR="005B1E1D" w:rsidRPr="005B1E1D" w:rsidRDefault="005B1E1D" w:rsidP="005B1E1D">
            <w:pPr>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Split</w:t>
            </w:r>
          </w:p>
        </w:tc>
        <w:tc>
          <w:tcPr>
            <w:tcW w:w="3117" w:type="dxa"/>
            <w:shd w:val="clear" w:color="auto" w:fill="2F5496" w:themeFill="accent1" w:themeFillShade="BF"/>
          </w:tcPr>
          <w:p w14:paraId="6DBCB750" w14:textId="201BDB64"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0 (on-time)</w:t>
            </w:r>
          </w:p>
        </w:tc>
        <w:tc>
          <w:tcPr>
            <w:tcW w:w="3117" w:type="dxa"/>
            <w:shd w:val="clear" w:color="auto" w:fill="2F5496" w:themeFill="accent1" w:themeFillShade="BF"/>
          </w:tcPr>
          <w:p w14:paraId="7BD15A4A" w14:textId="0BAC9159"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1 (late)</w:t>
            </w:r>
          </w:p>
        </w:tc>
      </w:tr>
      <w:tr w:rsidR="005B1E1D" w14:paraId="3EFC98C5" w14:textId="77777777"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CF99F1" w14:textId="05A7C754"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Before SMOTE (train)</w:t>
            </w:r>
          </w:p>
        </w:tc>
        <w:tc>
          <w:tcPr>
            <w:tcW w:w="3117" w:type="dxa"/>
          </w:tcPr>
          <w:p w14:paraId="7E51AD94" w14:textId="64DD6875"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59,030</w:t>
            </w:r>
          </w:p>
        </w:tc>
        <w:tc>
          <w:tcPr>
            <w:tcW w:w="3117" w:type="dxa"/>
          </w:tcPr>
          <w:p w14:paraId="1E7D10DC" w14:textId="5D3D5033"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79,182</w:t>
            </w:r>
          </w:p>
        </w:tc>
      </w:tr>
      <w:tr w:rsidR="005B1E1D" w14:paraId="7827BF7C" w14:textId="77777777" w:rsidTr="005B1E1D">
        <w:trPr>
          <w:trHeight w:val="251"/>
        </w:trPr>
        <w:tc>
          <w:tcPr>
            <w:cnfStyle w:val="001000000000" w:firstRow="0" w:lastRow="0" w:firstColumn="1" w:lastColumn="0" w:oddVBand="0" w:evenVBand="0" w:oddHBand="0" w:evenHBand="0" w:firstRowFirstColumn="0" w:firstRowLastColumn="0" w:lastRowFirstColumn="0" w:lastRowLastColumn="0"/>
            <w:tcW w:w="3116" w:type="dxa"/>
          </w:tcPr>
          <w:p w14:paraId="7B7D9707" w14:textId="235AD1E1"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SMOTE (train)</w:t>
            </w:r>
          </w:p>
        </w:tc>
        <w:tc>
          <w:tcPr>
            <w:tcW w:w="3117" w:type="dxa"/>
          </w:tcPr>
          <w:p w14:paraId="1C17E31A" w14:textId="6B0BFAAD"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79,182</w:t>
            </w:r>
          </w:p>
        </w:tc>
        <w:tc>
          <w:tcPr>
            <w:tcW w:w="3117" w:type="dxa"/>
          </w:tcPr>
          <w:p w14:paraId="5B702426" w14:textId="77378011"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79,182</w:t>
            </w:r>
          </w:p>
        </w:tc>
      </w:tr>
    </w:tbl>
    <w:p w14:paraId="0195DD9E"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066CF2" w14:textId="500981CC"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Random Forest Classifier – Test Set Performance (34,553 records)</w:t>
      </w:r>
    </w:p>
    <w:tbl>
      <w:tblPr>
        <w:tblStyle w:val="PlainTable1"/>
        <w:tblW w:w="9355" w:type="dxa"/>
        <w:tblLook w:val="04A0" w:firstRow="1" w:lastRow="0" w:firstColumn="1" w:lastColumn="0" w:noHBand="0" w:noVBand="1"/>
      </w:tblPr>
      <w:tblGrid>
        <w:gridCol w:w="2515"/>
        <w:gridCol w:w="2160"/>
        <w:gridCol w:w="2070"/>
        <w:gridCol w:w="2610"/>
      </w:tblGrid>
      <w:tr w:rsidR="005B1E1D" w14:paraId="4C246140" w14:textId="4A0E8FAA" w:rsidTr="005B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shd w:val="clear" w:color="auto" w:fill="2F5496" w:themeFill="accent1" w:themeFillShade="BF"/>
          </w:tcPr>
          <w:p w14:paraId="626A7687" w14:textId="59F6F040" w:rsidR="005B1E1D" w:rsidRPr="005B1E1D" w:rsidRDefault="005B1E1D" w:rsidP="005B1E1D">
            <w:pPr>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Metric</w:t>
            </w:r>
          </w:p>
        </w:tc>
        <w:tc>
          <w:tcPr>
            <w:tcW w:w="2160" w:type="dxa"/>
            <w:shd w:val="clear" w:color="auto" w:fill="2F5496" w:themeFill="accent1" w:themeFillShade="BF"/>
          </w:tcPr>
          <w:p w14:paraId="295202B2" w14:textId="14CF20FD"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0 (on-time)</w:t>
            </w:r>
          </w:p>
        </w:tc>
        <w:tc>
          <w:tcPr>
            <w:tcW w:w="2070" w:type="dxa"/>
            <w:shd w:val="clear" w:color="auto" w:fill="2F5496" w:themeFill="accent1" w:themeFillShade="BF"/>
          </w:tcPr>
          <w:p w14:paraId="4A3E1E7C" w14:textId="1062245F"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1 (late)</w:t>
            </w:r>
          </w:p>
        </w:tc>
        <w:tc>
          <w:tcPr>
            <w:tcW w:w="2610" w:type="dxa"/>
            <w:shd w:val="clear" w:color="auto" w:fill="2F5496" w:themeFill="accent1" w:themeFillShade="BF"/>
          </w:tcPr>
          <w:p w14:paraId="2BAA3657" w14:textId="3788C369"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Overall (weighted)</w:t>
            </w:r>
          </w:p>
        </w:tc>
      </w:tr>
      <w:tr w:rsidR="005B1E1D" w14:paraId="03AFC0E9" w14:textId="3BF36951"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2AB3A4CD" w14:textId="026B60D4" w:rsidR="005B1E1D" w:rsidRPr="005B1E1D" w:rsidRDefault="005B1E1D" w:rsidP="005B1E1D">
            <w:pP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Precision</w:t>
            </w:r>
          </w:p>
        </w:tc>
        <w:tc>
          <w:tcPr>
            <w:tcW w:w="2160" w:type="dxa"/>
          </w:tcPr>
          <w:p w14:paraId="48C60A10" w14:textId="614427C2"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0.68</w:t>
            </w:r>
          </w:p>
        </w:tc>
        <w:tc>
          <w:tcPr>
            <w:tcW w:w="2070" w:type="dxa"/>
          </w:tcPr>
          <w:p w14:paraId="707CED7D" w14:textId="71B18D67"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w:t>
            </w:r>
            <w:r w:rsidR="00324B5E">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p>
        </w:tc>
        <w:tc>
          <w:tcPr>
            <w:tcW w:w="2610" w:type="dxa"/>
          </w:tcPr>
          <w:p w14:paraId="041C2DBC" w14:textId="78E96CCC"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0.74</w:t>
            </w:r>
          </w:p>
        </w:tc>
      </w:tr>
      <w:tr w:rsidR="005B1E1D" w14:paraId="2C4ECBE7" w14:textId="48132897" w:rsidTr="005B1E1D">
        <w:tc>
          <w:tcPr>
            <w:cnfStyle w:val="001000000000" w:firstRow="0" w:lastRow="0" w:firstColumn="1" w:lastColumn="0" w:oddVBand="0" w:evenVBand="0" w:oddHBand="0" w:evenHBand="0" w:firstRowFirstColumn="0" w:firstRowLastColumn="0" w:lastRowFirstColumn="0" w:lastRowLastColumn="0"/>
            <w:tcW w:w="2515" w:type="dxa"/>
          </w:tcPr>
          <w:p w14:paraId="08885EB9" w14:textId="3B4831B0"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Recall</w:t>
            </w:r>
          </w:p>
        </w:tc>
        <w:tc>
          <w:tcPr>
            <w:tcW w:w="2160" w:type="dxa"/>
          </w:tcPr>
          <w:p w14:paraId="72A69BE5" w14:textId="21C611A9"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w:t>
            </w:r>
            <w:r w:rsidR="00026BFA">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c>
          <w:tcPr>
            <w:tcW w:w="2070" w:type="dxa"/>
          </w:tcPr>
          <w:p w14:paraId="7CB7A556" w14:textId="1A925354"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0.75</w:t>
            </w:r>
          </w:p>
        </w:tc>
        <w:tc>
          <w:tcPr>
            <w:tcW w:w="2610" w:type="dxa"/>
          </w:tcPr>
          <w:p w14:paraId="2208F18A" w14:textId="608E8E04"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0.74</w:t>
            </w:r>
          </w:p>
        </w:tc>
      </w:tr>
      <w:tr w:rsidR="005B1E1D" w14:paraId="5C5CD7E1" w14:textId="4C26F5F3"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B1605FC" w14:textId="710F8B53" w:rsidR="005B1E1D" w:rsidRPr="005B1E1D" w:rsidRDefault="005B1E1D" w:rsidP="005B1E1D">
            <w:pP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F1 - Score</w:t>
            </w:r>
          </w:p>
        </w:tc>
        <w:tc>
          <w:tcPr>
            <w:tcW w:w="2160" w:type="dxa"/>
          </w:tcPr>
          <w:p w14:paraId="66F04672" w14:textId="164ADCF2"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0.70</w:t>
            </w:r>
          </w:p>
        </w:tc>
        <w:tc>
          <w:tcPr>
            <w:tcW w:w="2070" w:type="dxa"/>
          </w:tcPr>
          <w:p w14:paraId="2ACB8292" w14:textId="10BB2DD2"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0.77</w:t>
            </w:r>
          </w:p>
        </w:tc>
        <w:tc>
          <w:tcPr>
            <w:tcW w:w="2610" w:type="dxa"/>
          </w:tcPr>
          <w:p w14:paraId="0DB65BAC" w14:textId="471AA39D"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0.74</w:t>
            </w:r>
          </w:p>
        </w:tc>
      </w:tr>
      <w:tr w:rsidR="005B1E1D" w14:paraId="2B30F85D" w14:textId="27E79AA5" w:rsidTr="005B1E1D">
        <w:tc>
          <w:tcPr>
            <w:cnfStyle w:val="001000000000" w:firstRow="0" w:lastRow="0" w:firstColumn="1" w:lastColumn="0" w:oddVBand="0" w:evenVBand="0" w:oddHBand="0" w:evenHBand="0" w:firstRowFirstColumn="0" w:firstRowLastColumn="0" w:lastRowFirstColumn="0" w:lastRowLastColumn="0"/>
            <w:tcW w:w="2515" w:type="dxa"/>
          </w:tcPr>
          <w:p w14:paraId="0E3EED55" w14:textId="19EF6F4F"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Accuracy</w:t>
            </w:r>
          </w:p>
        </w:tc>
        <w:tc>
          <w:tcPr>
            <w:tcW w:w="2160" w:type="dxa"/>
          </w:tcPr>
          <w:p w14:paraId="1F23944C" w14:textId="3A6878DF"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c>
          <w:tcPr>
            <w:tcW w:w="2070" w:type="dxa"/>
          </w:tcPr>
          <w:p w14:paraId="32FCE6DA" w14:textId="4194BF84"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c>
          <w:tcPr>
            <w:tcW w:w="2610" w:type="dxa"/>
          </w:tcPr>
          <w:p w14:paraId="7B247884" w14:textId="312A5D56"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0.74</w:t>
            </w:r>
          </w:p>
        </w:tc>
      </w:tr>
      <w:tr w:rsidR="005B1E1D" w14:paraId="3CC289D9" w14:textId="41305238"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2801F8B0" w14:textId="26FBBBD5"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w:t>
            </w:r>
          </w:p>
        </w:tc>
        <w:tc>
          <w:tcPr>
            <w:tcW w:w="2160" w:type="dxa"/>
          </w:tcPr>
          <w:p w14:paraId="6EAE3125" w14:textId="75277C5B"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14,758</w:t>
            </w:r>
          </w:p>
        </w:tc>
        <w:tc>
          <w:tcPr>
            <w:tcW w:w="2070" w:type="dxa"/>
          </w:tcPr>
          <w:p w14:paraId="2BA0394A" w14:textId="629E11F8"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19,795</w:t>
            </w:r>
          </w:p>
        </w:tc>
        <w:tc>
          <w:tcPr>
            <w:tcW w:w="2610" w:type="dxa"/>
          </w:tcPr>
          <w:p w14:paraId="75CF0854" w14:textId="0F32FD51"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34,553</w:t>
            </w:r>
          </w:p>
        </w:tc>
      </w:tr>
    </w:tbl>
    <w:p w14:paraId="056CF0E3"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2515"/>
        <w:gridCol w:w="6835"/>
      </w:tblGrid>
      <w:tr w:rsidR="005B1E1D" w14:paraId="1CE1FD89" w14:textId="77777777" w:rsidTr="005B1E1D">
        <w:tc>
          <w:tcPr>
            <w:tcW w:w="2515" w:type="dxa"/>
            <w:shd w:val="clear" w:color="auto" w:fill="D5DCE4" w:themeFill="text2" w:themeFillTint="33"/>
          </w:tcPr>
          <w:p w14:paraId="2B6E11D3" w14:textId="7E009111" w:rsidR="005B1E1D" w:rsidRPr="005B1E1D" w:rsidRDefault="005B1E1D" w:rsidP="005B1E1D">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74% Overall Accuracy</w:t>
            </w:r>
          </w:p>
        </w:tc>
        <w:tc>
          <w:tcPr>
            <w:tcW w:w="6835" w:type="dxa"/>
            <w:shd w:val="clear" w:color="auto" w:fill="D5DCE4" w:themeFill="text2" w:themeFillTint="33"/>
          </w:tcPr>
          <w:p w14:paraId="38AE96F5" w14:textId="65357DDB" w:rsidR="005B1E1D" w:rsidRPr="005B1E1D" w:rsidRDefault="005B1E1D" w:rsidP="005B1E1D">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model correctly classifies nearly 3 in 4 orders - a strong foundation for production deployment as an order-level late-delivery alert system.</w:t>
            </w:r>
          </w:p>
        </w:tc>
      </w:tr>
    </w:tbl>
    <w:p w14:paraId="4FAFCBDD"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2515"/>
        <w:gridCol w:w="6835"/>
      </w:tblGrid>
      <w:tr w:rsidR="005B1E1D" w:rsidRPr="005B1E1D" w14:paraId="7286945F" w14:textId="77777777" w:rsidTr="005B1E1D">
        <w:tc>
          <w:tcPr>
            <w:tcW w:w="2515" w:type="dxa"/>
            <w:shd w:val="clear" w:color="auto" w:fill="D5DCE4" w:themeFill="text2" w:themeFillTint="33"/>
          </w:tcPr>
          <w:p w14:paraId="280FDD9F" w14:textId="03862106" w:rsidR="005B1E1D" w:rsidRPr="005B1E1D" w:rsidRDefault="005B1E1D" w:rsidP="0061705C">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Higher Precision on Late Orders (0.78)</w:t>
            </w:r>
          </w:p>
        </w:tc>
        <w:tc>
          <w:tcPr>
            <w:tcW w:w="6835" w:type="dxa"/>
            <w:shd w:val="clear" w:color="auto" w:fill="D5DCE4" w:themeFill="text2" w:themeFillTint="33"/>
          </w:tcPr>
          <w:p w14:paraId="03B5DA5B" w14:textId="312BDEB6" w:rsidR="005B1E1D" w:rsidRPr="005B1E1D" w:rsidRDefault="005B1E1D" w:rsidP="0061705C">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the model predicts an order will be late, it is correct 78% of the time sufficient to trigger targeted interventions without generating excessive false alarms.</w:t>
            </w:r>
          </w:p>
        </w:tc>
      </w:tr>
    </w:tbl>
    <w:p w14:paraId="69060C39" w14:textId="0FDD288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2515"/>
        <w:gridCol w:w="6835"/>
      </w:tblGrid>
      <w:tr w:rsidR="005B1E1D" w14:paraId="5442480E" w14:textId="77777777" w:rsidTr="005B1E1D">
        <w:tc>
          <w:tcPr>
            <w:tcW w:w="2515" w:type="dxa"/>
            <w:shd w:val="clear" w:color="auto" w:fill="D5DCE4" w:themeFill="text2" w:themeFillTint="33"/>
          </w:tcPr>
          <w:p w14:paraId="1D426012" w14:textId="48595742" w:rsidR="005B1E1D" w:rsidRPr="005B1E1D" w:rsidRDefault="005B1E1D" w:rsidP="0061705C">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Recall for Late Orders at 0.75</w:t>
            </w:r>
          </w:p>
        </w:tc>
        <w:tc>
          <w:tcPr>
            <w:tcW w:w="6835" w:type="dxa"/>
            <w:shd w:val="clear" w:color="auto" w:fill="D5DCE4" w:themeFill="text2" w:themeFillTint="33"/>
          </w:tcPr>
          <w:p w14:paraId="166C4FE8" w14:textId="2D655830" w:rsidR="005B1E1D" w:rsidRPr="005B1E1D" w:rsidRDefault="005B1E1D" w:rsidP="0061705C">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model captures 75% of actual late orders. The 25% miss rate is acceptable for a first-generation alert system, with clear improvement potential.</w:t>
            </w:r>
          </w:p>
        </w:tc>
      </w:tr>
    </w:tbl>
    <w:p w14:paraId="6D3B769D" w14:textId="0DD31396"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TableGrid"/>
        <w:tblW w:w="0" w:type="auto"/>
        <w:tblLook w:val="04A0" w:firstRow="1" w:lastRow="0" w:firstColumn="1" w:lastColumn="0" w:noHBand="0" w:noVBand="1"/>
      </w:tblPr>
      <w:tblGrid>
        <w:gridCol w:w="2515"/>
        <w:gridCol w:w="6835"/>
      </w:tblGrid>
      <w:tr w:rsidR="005B1E1D" w14:paraId="62C8BB79" w14:textId="77777777" w:rsidTr="005B1E1D">
        <w:tc>
          <w:tcPr>
            <w:tcW w:w="2515" w:type="dxa"/>
            <w:shd w:val="clear" w:color="auto" w:fill="D5DCE4" w:themeFill="text2" w:themeFillTint="33"/>
          </w:tcPr>
          <w:p w14:paraId="12763670" w14:textId="371A0621" w:rsidR="005B1E1D" w:rsidRPr="005B1E1D" w:rsidRDefault="005B1E1D" w:rsidP="0061705C">
            <w:pP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0 Harder to Predict (Precision 0.68)</w:t>
            </w:r>
          </w:p>
        </w:tc>
        <w:tc>
          <w:tcPr>
            <w:tcW w:w="6835" w:type="dxa"/>
            <w:shd w:val="clear" w:color="auto" w:fill="D5DCE4" w:themeFill="text2" w:themeFillTint="33"/>
          </w:tcPr>
          <w:p w14:paraId="5C1312E5" w14:textId="15DDDC0C" w:rsidR="005B1E1D" w:rsidRPr="005B1E1D" w:rsidRDefault="005B1E1D" w:rsidP="0061705C">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On-time deliveries share many characteristics with late ones given the systemic nature of delays, making them genuinely difficult to distinguish</w:t>
            </w:r>
          </w:p>
        </w:tc>
      </w:tr>
    </w:tbl>
    <w:p w14:paraId="0C5420AD"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4A9B2C" w14:textId="66D42C24" w:rsidR="005B1E1D" w:rsidRDefault="005B1E1D" w:rsidP="005B1E1D">
      <w:pPr>
        <w:rPr>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9.Strategic Recommendations</w:t>
      </w:r>
    </w:p>
    <w:p w14:paraId="5BDD721E" w14:textId="06090EA6"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Based on the finding across all analytical dimensions, the following prioritized actions are recommended:</w:t>
      </w:r>
    </w:p>
    <w:tbl>
      <w:tblPr>
        <w:tblStyle w:val="TableGrid"/>
        <w:tblW w:w="0" w:type="auto"/>
        <w:tblLook w:val="04A0" w:firstRow="1" w:lastRow="0" w:firstColumn="1" w:lastColumn="0" w:noHBand="0" w:noVBand="1"/>
      </w:tblPr>
      <w:tblGrid>
        <w:gridCol w:w="1615"/>
        <w:gridCol w:w="7735"/>
      </w:tblGrid>
      <w:tr w:rsidR="005B1E1D" w14:paraId="1CCD12C6" w14:textId="77777777" w:rsidTr="005B1E1D">
        <w:tc>
          <w:tcPr>
            <w:tcW w:w="1615" w:type="dxa"/>
            <w:shd w:val="clear" w:color="auto" w:fill="F4B083" w:themeFill="accent2" w:themeFillTint="99"/>
            <w:vAlign w:val="center"/>
          </w:tcPr>
          <w:p w14:paraId="4B607D04" w14:textId="483A375C" w:rsidR="005B1E1D" w:rsidRDefault="005B1E1D" w:rsidP="005B1E1D">
            <w:pPr>
              <w:jc w:val="cente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CRITICAL</w:t>
            </w:r>
          </w:p>
        </w:tc>
        <w:tc>
          <w:tcPr>
            <w:tcW w:w="7735" w:type="dxa"/>
            <w:shd w:val="clear" w:color="auto" w:fill="D5DCE4" w:themeFill="text2" w:themeFillTint="33"/>
          </w:tcPr>
          <w:p w14:paraId="48D0A32B" w14:textId="6213D9D2" w:rsidR="005B1E1D" w:rsidRP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Immediately Audit First Class &amp; Second-Class Shipping Capacity</w:t>
            </w:r>
          </w:p>
          <w:p w14:paraId="4FA8E103" w14:textId="7FD27B49"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 Class shipping has a 100% delay rate and Second Class 79.8%. These modes operate in complete contradiction to their brand promise. Conduct an immediate carrier SLA audit. Until resolved, consider suspending First Class or repricing to reflect actual performance.</w:t>
            </w:r>
          </w:p>
        </w:tc>
      </w:tr>
    </w:tbl>
    <w:p w14:paraId="31D7BBAE" w14:textId="77777777" w:rsidR="005B1E1D" w:rsidRP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4AA4A546" w14:textId="77777777" w:rsidTr="005B1E1D">
        <w:tc>
          <w:tcPr>
            <w:tcW w:w="1615" w:type="dxa"/>
            <w:shd w:val="clear" w:color="auto" w:fill="6C320A"/>
            <w:vAlign w:val="center"/>
          </w:tcPr>
          <w:p w14:paraId="22431AFA" w14:textId="2C75D67A" w:rsidR="005B1E1D" w:rsidRP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w:t>
            </w:r>
          </w:p>
        </w:tc>
        <w:tc>
          <w:tcPr>
            <w:tcW w:w="7735" w:type="dxa"/>
            <w:shd w:val="clear" w:color="auto" w:fill="D5DCE4" w:themeFill="text2" w:themeFillTint="33"/>
          </w:tcPr>
          <w:p w14:paraId="22B2A4AE" w14:textId="6222A0FC" w:rsidR="005B1E1D" w:rsidRP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Deploy the Predictive Alert System</w:t>
            </w:r>
          </w:p>
          <w:p w14:paraId="036EBF11" w14:textId="3A6462A1"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Random Forest model (74% accuracy, 78% precision on late orders) is ready for production piloting. Integrate it into the order management system to flag high-risk orders at confirmation and trigger proactive customer communication and priority handling queues.</w:t>
            </w:r>
          </w:p>
        </w:tc>
      </w:tr>
    </w:tbl>
    <w:p w14:paraId="6BCCFB8A" w14:textId="72A4738E" w:rsid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39B65356" w14:textId="77777777" w:rsidTr="005B1E1D">
        <w:tc>
          <w:tcPr>
            <w:tcW w:w="1615" w:type="dxa"/>
            <w:shd w:val="clear" w:color="auto" w:fill="6C320A"/>
            <w:vAlign w:val="center"/>
          </w:tcPr>
          <w:p w14:paraId="418AD7F5" w14:textId="522D531A" w:rsidR="005B1E1D" w:rsidRP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w:t>
            </w:r>
          </w:p>
        </w:tc>
        <w:tc>
          <w:tcPr>
            <w:tcW w:w="7735" w:type="dxa"/>
            <w:shd w:val="clear" w:color="auto" w:fill="D5DCE4" w:themeFill="text2" w:themeFillTint="33"/>
          </w:tcPr>
          <w:p w14:paraId="5D004AA7" w14:textId="1B5DCF93" w:rsidR="005B1E1D" w:rsidRP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Resolve Payment Processing Bottlenecks</w:t>
            </w:r>
          </w:p>
          <w:p w14:paraId="068BBBF5" w14:textId="6F3CC1C1"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Orders in PAYMENT_REVIEW (55.3% overall; 80.0% in Central Africa) and PENDING_PAYMENT (55.0%) have significantly elevated delay rates. Introduce automated escalation for stalled payment reviews exceeding 2 hours.</w:t>
            </w:r>
          </w:p>
        </w:tc>
      </w:tr>
    </w:tbl>
    <w:p w14:paraId="2E67072B" w14:textId="77777777" w:rsid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7B13A848" w14:textId="77777777" w:rsidTr="005B1E1D">
        <w:tc>
          <w:tcPr>
            <w:tcW w:w="1615" w:type="dxa"/>
            <w:shd w:val="clear" w:color="auto" w:fill="538135" w:themeFill="accent6" w:themeFillShade="BF"/>
            <w:vAlign w:val="center"/>
          </w:tcPr>
          <w:p w14:paraId="4F89605F" w14:textId="51C9DA60" w:rsid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MEDIUM</w:t>
            </w:r>
          </w:p>
        </w:tc>
        <w:tc>
          <w:tcPr>
            <w:tcW w:w="7735" w:type="dxa"/>
            <w:shd w:val="clear" w:color="auto" w:fill="D5DCE4" w:themeFill="text2" w:themeFillTint="33"/>
          </w:tcPr>
          <w:p w14:paraId="2F4816E0" w14:textId="59F672E6" w:rsidR="005B1E1D" w:rsidRP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Develop Seasonal Surge Capacity Plans</w:t>
            </w:r>
          </w:p>
          <w:p w14:paraId="64430B41" w14:textId="59EEA9DB" w:rsidR="005B1E1D" w:rsidRP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August, October (55.4%), and December (55.2%) are peak delay months. Build pre-season capacity plans including temporary logistics partnerships, inventory pre-positioning, and adjusted delivery promise windows</w:t>
            </w: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r>
    </w:tbl>
    <w:p w14:paraId="60A2FEC2" w14:textId="77777777" w:rsid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0E604589" w14:textId="77777777" w:rsidTr="005B1E1D">
        <w:tc>
          <w:tcPr>
            <w:tcW w:w="1615" w:type="dxa"/>
            <w:shd w:val="clear" w:color="auto" w:fill="538135" w:themeFill="accent6" w:themeFillShade="BF"/>
            <w:vAlign w:val="center"/>
          </w:tcPr>
          <w:p w14:paraId="5538AE06" w14:textId="38B77F47" w:rsid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MEDIUM</w:t>
            </w:r>
          </w:p>
        </w:tc>
        <w:tc>
          <w:tcPr>
            <w:tcW w:w="7735" w:type="dxa"/>
            <w:shd w:val="clear" w:color="auto" w:fill="D5DCE4" w:themeFill="text2" w:themeFillTint="33"/>
          </w:tcPr>
          <w:p w14:paraId="629ECE21" w14:textId="5E05C038" w:rsidR="005B1E1D" w:rsidRP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Default to Standard Class for Eligible Orders</w:t>
            </w:r>
          </w:p>
          <w:p w14:paraId="7A78FBC9" w14:textId="0156AE92" w:rsidR="005B1E1D" w:rsidRP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Standard Class achieves a 39.8% delay rate - far superior to First and Second Class. Re-evaluate shipping mode assignment logic to default eligible orders to Standard Class, particularly in regions and departments with poor premium mode performance.</w:t>
            </w:r>
          </w:p>
        </w:tc>
      </w:tr>
    </w:tbl>
    <w:p w14:paraId="179421AA" w14:textId="7C346828" w:rsid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21B1BC0" w14:textId="77777777" w:rsidR="005B1E1D" w:rsidRPr="005B1E1D" w:rsidRDefault="005B1E1D" w:rsidP="005B1E1D">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03659B11" w14:textId="77777777" w:rsidTr="005B1E1D">
        <w:tc>
          <w:tcPr>
            <w:tcW w:w="1615" w:type="dxa"/>
            <w:shd w:val="clear" w:color="auto" w:fill="538135" w:themeFill="accent6" w:themeFillShade="BF"/>
            <w:vAlign w:val="center"/>
          </w:tcPr>
          <w:p w14:paraId="618D2477" w14:textId="77777777" w:rsid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MEDIUM</w:t>
            </w:r>
          </w:p>
        </w:tc>
        <w:tc>
          <w:tcPr>
            <w:tcW w:w="7735" w:type="dxa"/>
            <w:shd w:val="clear" w:color="auto" w:fill="D5DCE4" w:themeFill="text2" w:themeFillTint="33"/>
          </w:tcPr>
          <w:p w14:paraId="2FE6DDE9" w14:textId="35046094" w:rsidR="005B1E1D" w:rsidRPr="005B1E1D" w:rsidRDefault="005B1E1D" w:rsidP="0061705C">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Investigate High-Delay Departments in Africa</w:t>
            </w:r>
          </w:p>
          <w:p w14:paraId="46DC102E" w14:textId="77777777" w:rsidR="005B1E1D" w:rsidRPr="005B1E1D" w:rsidRDefault="005B1E1D" w:rsidP="0061705C">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Outdoors (61.3%) and Golf (60.8%) in Central Africa show significantly elevated delay rates. Conduct a warehouse-level audit of stock availability, pick-and-pack times, and carrier assignment for these product categories.</w:t>
            </w:r>
          </w:p>
        </w:tc>
      </w:tr>
    </w:tbl>
    <w:p w14:paraId="1C99B6E0"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4E6802BF" w14:textId="77777777" w:rsidTr="005B1E1D">
        <w:tc>
          <w:tcPr>
            <w:tcW w:w="1615" w:type="dxa"/>
            <w:shd w:val="clear" w:color="auto" w:fill="323E4F" w:themeFill="text2" w:themeFillShade="BF"/>
            <w:vAlign w:val="center"/>
          </w:tcPr>
          <w:p w14:paraId="3A609D8D" w14:textId="53EA4C12" w:rsidR="005B1E1D" w:rsidRDefault="005B1E1D" w:rsidP="005B1E1D">
            <w:pPr>
              <w:jc w:val="cente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w:t>
            </w:r>
          </w:p>
        </w:tc>
        <w:tc>
          <w:tcPr>
            <w:tcW w:w="7735" w:type="dxa"/>
            <w:shd w:val="clear" w:color="auto" w:fill="D5DCE4" w:themeFill="text2" w:themeFillTint="33"/>
          </w:tcPr>
          <w:p w14:paraId="5DE41551" w14:textId="77777777" w:rsidR="005B1E1D" w:rsidRDefault="005B1E1D" w:rsidP="0061705C">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Reduce Loss-Making Order Share (18.7%) </w:t>
            </w:r>
          </w:p>
          <w:p w14:paraId="278903EA" w14:textId="5AD2A3D5" w:rsidR="005B1E1D" w:rsidRPr="005B1E1D" w:rsidRDefault="005B1E1D" w:rsidP="0061705C">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18.7% loss-making order share warrants a separate pricing and discount review. Combine with delay analysis to identify whether discounted orders are disproportionately late, creating a compounded margin problem.</w:t>
            </w:r>
          </w:p>
        </w:tc>
      </w:tr>
    </w:tbl>
    <w:p w14:paraId="029C1F12"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1615"/>
        <w:gridCol w:w="7735"/>
      </w:tblGrid>
      <w:tr w:rsidR="005B1E1D" w14:paraId="144A29DB" w14:textId="77777777" w:rsidTr="005B1E1D">
        <w:tc>
          <w:tcPr>
            <w:tcW w:w="1615" w:type="dxa"/>
            <w:shd w:val="clear" w:color="auto" w:fill="323E4F" w:themeFill="text2" w:themeFillShade="BF"/>
            <w:vAlign w:val="center"/>
          </w:tcPr>
          <w:p w14:paraId="79158F45" w14:textId="1B579D55" w:rsidR="005B1E1D" w:rsidRPr="005B1E1D" w:rsidRDefault="005B1E1D" w:rsidP="005B1E1D">
            <w:pPr>
              <w:jc w:val="center"/>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w:t>
            </w:r>
          </w:p>
        </w:tc>
        <w:tc>
          <w:tcPr>
            <w:tcW w:w="7735" w:type="dxa"/>
            <w:shd w:val="clear" w:color="auto" w:fill="D5DCE4" w:themeFill="text2" w:themeFillTint="33"/>
          </w:tcPr>
          <w:p w14:paraId="5E78C371" w14:textId="77777777" w:rsidR="005B1E1D" w:rsidRDefault="005B1E1D" w:rsidP="0061705C">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Continuously Retrain the Predictive Model </w:t>
            </w:r>
          </w:p>
          <w:p w14:paraId="4B263849" w14:textId="2343938F" w:rsidR="005B1E1D" w:rsidRDefault="005B1E1D" w:rsidP="0061705C">
            <w:pPr>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Retrain the model quarterly.</w:t>
            </w:r>
            <w:r w:rsidRPr="005B1E1D">
              <w:rPr>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Explore adding carrier-level data, weather events, and warehouse utilization features. Target a recall improvement to above 80% on late orders within 6 months.</w:t>
            </w:r>
          </w:p>
        </w:tc>
      </w:tr>
    </w:tbl>
    <w:p w14:paraId="780F2BF0" w14:textId="77777777" w:rsidR="005B1E1D" w:rsidRDefault="005B1E1D" w:rsidP="005B1E1D">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EC6E59" w14:textId="5485CEB4" w:rsidR="005B1E1D" w:rsidRDefault="005B1E1D" w:rsidP="005B1E1D">
      <w:pPr>
        <w:rPr>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Conclusion</w:t>
      </w:r>
    </w:p>
    <w:p w14:paraId="2314A3F7" w14:textId="579FAD08"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analysis has surfaced a clear and urgent picture: a global e-commerce operation where the majority of orders (54.71%) fail to meet their promised delivery windows, costing $2.1M in at-risk profit and undermining customer trust at scale.</w:t>
      </w:r>
    </w:p>
    <w:p w14:paraId="4762DF37" w14:textId="2D0A8CB7"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14:paraId="0B66D09F" w14:textId="7D09283D"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Random Forest predictive model trained on readily available order features already achieves 74% accuracy in identifying at-risk orders. This is a deployable tool, not a future aspiration.</w:t>
      </w:r>
    </w:p>
    <w:p w14:paraId="6BAC115B" w14:textId="77777777"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PlainTable1"/>
        <w:tblW w:w="0" w:type="auto"/>
        <w:tblLook w:val="04A0" w:firstRow="1" w:lastRow="0" w:firstColumn="1" w:lastColumn="0" w:noHBand="0" w:noVBand="1"/>
      </w:tblPr>
      <w:tblGrid>
        <w:gridCol w:w="3116"/>
        <w:gridCol w:w="3117"/>
        <w:gridCol w:w="3117"/>
      </w:tblGrid>
      <w:tr w:rsidR="005B1E1D" w14:paraId="3EB5964C" w14:textId="77777777" w:rsidTr="005B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323E4F" w:themeFill="text2" w:themeFillShade="BF"/>
          </w:tcPr>
          <w:p w14:paraId="37212554" w14:textId="05F80650" w:rsidR="005B1E1D" w:rsidRPr="005B1E1D" w:rsidRDefault="005B1E1D" w:rsidP="005B1E1D">
            <w:pPr>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Priority Area</w:t>
            </w:r>
          </w:p>
        </w:tc>
        <w:tc>
          <w:tcPr>
            <w:tcW w:w="3117" w:type="dxa"/>
            <w:shd w:val="clear" w:color="auto" w:fill="323E4F" w:themeFill="text2" w:themeFillShade="BF"/>
          </w:tcPr>
          <w:p w14:paraId="0DA1C8B5" w14:textId="2D6F0115" w:rsid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Current State</w:t>
            </w:r>
          </w:p>
        </w:tc>
        <w:tc>
          <w:tcPr>
            <w:tcW w:w="3117" w:type="dxa"/>
            <w:shd w:val="clear" w:color="auto" w:fill="323E4F" w:themeFill="text2" w:themeFillShade="BF"/>
          </w:tcPr>
          <w:p w14:paraId="129D7C48" w14:textId="4F75AA11" w:rsidR="005B1E1D" w:rsidRPr="005B1E1D" w:rsidRDefault="005B1E1D" w:rsidP="005B1E1D">
            <w:pPr>
              <w:cnfStyle w:val="100000000000" w:firstRow="1" w:lastRow="0" w:firstColumn="0" w:lastColumn="0" w:oddVBand="0" w:evenVBand="0" w:oddHBand="0" w:evenHBand="0" w:firstRowFirstColumn="0" w:firstRowLastColumn="0" w:lastRowFirstColumn="0" w:lastRowLastColumn="0"/>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val="0"/>
                <w:color w:val="FFFFFF" w:themeColor="background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Target State</w:t>
            </w:r>
          </w:p>
        </w:tc>
      </w:tr>
      <w:tr w:rsidR="005B1E1D" w14:paraId="1C5F6A6D" w14:textId="77777777"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79CE4C" w14:textId="53CC41F6"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Late Delivery Rate</w:t>
            </w:r>
          </w:p>
        </w:tc>
        <w:tc>
          <w:tcPr>
            <w:tcW w:w="3117" w:type="dxa"/>
          </w:tcPr>
          <w:p w14:paraId="44EC286E" w14:textId="661C510C" w:rsid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54.71%</w:t>
            </w:r>
          </w:p>
        </w:tc>
        <w:tc>
          <w:tcPr>
            <w:tcW w:w="3117" w:type="dxa"/>
          </w:tcPr>
          <w:p w14:paraId="32D7D050" w14:textId="51A96F7F"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 30% within 12 months</w:t>
            </w:r>
          </w:p>
        </w:tc>
      </w:tr>
      <w:tr w:rsidR="005B1E1D" w14:paraId="72580750" w14:textId="77777777" w:rsidTr="005B1E1D">
        <w:tc>
          <w:tcPr>
            <w:cnfStyle w:val="001000000000" w:firstRow="0" w:lastRow="0" w:firstColumn="1" w:lastColumn="0" w:oddVBand="0" w:evenVBand="0" w:oddHBand="0" w:evenHBand="0" w:firstRowFirstColumn="0" w:firstRowLastColumn="0" w:lastRowFirstColumn="0" w:lastRowLastColumn="0"/>
            <w:tcW w:w="3116" w:type="dxa"/>
          </w:tcPr>
          <w:p w14:paraId="5753A7AB" w14:textId="1FCBB52D"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 Class on-time Rate</w:t>
            </w:r>
          </w:p>
        </w:tc>
        <w:tc>
          <w:tcPr>
            <w:tcW w:w="3117" w:type="dxa"/>
          </w:tcPr>
          <w:p w14:paraId="3F541E97" w14:textId="3F2C456E" w:rsid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p>
        </w:tc>
        <w:tc>
          <w:tcPr>
            <w:tcW w:w="3117" w:type="dxa"/>
          </w:tcPr>
          <w:p w14:paraId="19266E09" w14:textId="3875D08E"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 80%</w:t>
            </w:r>
          </w:p>
        </w:tc>
      </w:tr>
      <w:tr w:rsidR="005B1E1D" w14:paraId="05432109" w14:textId="77777777"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1D832C" w14:textId="41F3964E"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Second Class on-time Rate</w:t>
            </w:r>
          </w:p>
        </w:tc>
        <w:tc>
          <w:tcPr>
            <w:tcW w:w="3117" w:type="dxa"/>
          </w:tcPr>
          <w:p w14:paraId="253DF33F" w14:textId="2F306B02" w:rsid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w:t>
            </w:r>
          </w:p>
        </w:tc>
        <w:tc>
          <w:tcPr>
            <w:tcW w:w="3117" w:type="dxa"/>
          </w:tcPr>
          <w:p w14:paraId="54A97D92" w14:textId="00AEE761"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 60%</w:t>
            </w:r>
          </w:p>
        </w:tc>
      </w:tr>
      <w:tr w:rsidR="005B1E1D" w14:paraId="7857083C" w14:textId="77777777" w:rsidTr="005B1E1D">
        <w:tc>
          <w:tcPr>
            <w:cnfStyle w:val="001000000000" w:firstRow="0" w:lastRow="0" w:firstColumn="1" w:lastColumn="0" w:oddVBand="0" w:evenVBand="0" w:oddHBand="0" w:evenHBand="0" w:firstRowFirstColumn="0" w:firstRowLastColumn="0" w:lastRowFirstColumn="0" w:lastRowLastColumn="0"/>
            <w:tcW w:w="3116" w:type="dxa"/>
          </w:tcPr>
          <w:p w14:paraId="7B570552" w14:textId="76145B58"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Predictive Model Accuracy</w:t>
            </w:r>
          </w:p>
        </w:tc>
        <w:tc>
          <w:tcPr>
            <w:tcW w:w="3117" w:type="dxa"/>
          </w:tcPr>
          <w:p w14:paraId="54741DB0" w14:textId="29A893A5" w:rsid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74%</w:t>
            </w:r>
          </w:p>
        </w:tc>
        <w:tc>
          <w:tcPr>
            <w:tcW w:w="3117" w:type="dxa"/>
          </w:tcPr>
          <w:p w14:paraId="05A3CF5E" w14:textId="50EF3281"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 82% (enhanced model)</w:t>
            </w:r>
          </w:p>
        </w:tc>
      </w:tr>
      <w:tr w:rsidR="005B1E1D" w14:paraId="34A5BD69" w14:textId="77777777" w:rsidTr="005B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E3E3C0" w14:textId="3F0FA258"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Loss-Making Orders</w:t>
            </w:r>
          </w:p>
        </w:tc>
        <w:tc>
          <w:tcPr>
            <w:tcW w:w="3117" w:type="dxa"/>
          </w:tcPr>
          <w:p w14:paraId="6AA523A0" w14:textId="11D48ADA" w:rsidR="005B1E1D" w:rsidRDefault="005B1E1D" w:rsidP="005B1E1D">
            <w:pPr>
              <w:cnfStyle w:val="000000100000" w:firstRow="0" w:lastRow="0" w:firstColumn="0" w:lastColumn="0" w:oddVBand="0" w:evenVBand="0" w:oddHBand="1"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18.7%</w:t>
            </w:r>
          </w:p>
        </w:tc>
        <w:tc>
          <w:tcPr>
            <w:tcW w:w="3117" w:type="dxa"/>
          </w:tcPr>
          <w:p w14:paraId="5C549A06" w14:textId="50C2BF79" w:rsidR="005B1E1D" w:rsidRPr="005B1E1D" w:rsidRDefault="005B1E1D" w:rsidP="005B1E1D">
            <w:pPr>
              <w:cnfStyle w:val="000000100000" w:firstRow="0" w:lastRow="0" w:firstColumn="0" w:lastColumn="0" w:oddVBand="0" w:evenVBand="0" w:oddHBand="1"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 12%</w:t>
            </w:r>
          </w:p>
        </w:tc>
      </w:tr>
      <w:tr w:rsidR="005B1E1D" w14:paraId="5D4DB6A8" w14:textId="77777777" w:rsidTr="005B1E1D">
        <w:tc>
          <w:tcPr>
            <w:cnfStyle w:val="001000000000" w:firstRow="0" w:lastRow="0" w:firstColumn="1" w:lastColumn="0" w:oddVBand="0" w:evenVBand="0" w:oddHBand="0" w:evenHBand="0" w:firstRowFirstColumn="0" w:firstRowLastColumn="0" w:lastRowFirstColumn="0" w:lastRowLastColumn="0"/>
            <w:tcW w:w="3116" w:type="dxa"/>
          </w:tcPr>
          <w:p w14:paraId="0A91B996" w14:textId="5F9FB12C" w:rsidR="005B1E1D" w:rsidRPr="005B1E1D" w:rsidRDefault="005B1E1D" w:rsidP="005B1E1D">
            <w:pPr>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Profit at Risk</w:t>
            </w:r>
          </w:p>
        </w:tc>
        <w:tc>
          <w:tcPr>
            <w:tcW w:w="3117" w:type="dxa"/>
          </w:tcPr>
          <w:p w14:paraId="13896A77" w14:textId="4F8736DE" w:rsidR="005B1E1D" w:rsidRDefault="005B1E1D" w:rsidP="005B1E1D">
            <w:pPr>
              <w:cnfStyle w:val="000000000000" w:firstRow="0" w:lastRow="0" w:firstColumn="0" w:lastColumn="0" w:oddVBand="0" w:evenVBand="0" w:oddHBand="0" w:evenHBand="0" w:firstRowFirstColumn="0" w:firstRowLastColumn="0" w:lastRowFirstColumn="0" w:lastRowLastColumn="0"/>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$2.1M</w:t>
            </w:r>
          </w:p>
        </w:tc>
        <w:tc>
          <w:tcPr>
            <w:tcW w:w="3117" w:type="dxa"/>
          </w:tcPr>
          <w:p w14:paraId="19C608D6" w14:textId="2B03F3B7" w:rsidR="005B1E1D" w:rsidRPr="005B1E1D" w:rsidRDefault="005B1E1D" w:rsidP="005B1E1D">
            <w:pPr>
              <w:cnfStyle w:val="000000000000" w:firstRow="0" w:lastRow="0" w:firstColumn="0" w:lastColumn="0" w:oddVBand="0" w:evenVBand="0" w:oddHBand="0" w:evenHBand="0" w:firstRowFirstColumn="0" w:firstRowLastColumn="0" w:lastRowFirstColumn="0" w:lastRowLastColumn="0"/>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E1D">
              <w:rPr>
                <w:bCs/>
                <w:color w:val="538135" w:themeColor="accent6"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Reduce by 40%</w:t>
            </w:r>
          </w:p>
        </w:tc>
      </w:tr>
    </w:tbl>
    <w:p w14:paraId="0424A74B" w14:textId="77777777" w:rsid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0833BA" w14:textId="5788893C" w:rsidR="005B1E1D" w:rsidRPr="005B1E1D" w:rsidRDefault="005B1E1D" w:rsidP="005B1E1D">
      <w:pP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focused execution on the eight recommendations in this report starting with the critical mode audit and prediction alert system deployment the business can systematically recover its delivery performance, protect its $7.5M profit base, and built the operational reliability that sustained e-commerce growth demands.</w:t>
      </w:r>
    </w:p>
    <w:sectPr w:rsidR="005B1E1D" w:rsidRPr="005B1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DDE"/>
    <w:multiLevelType w:val="hybridMultilevel"/>
    <w:tmpl w:val="A514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76CBC"/>
    <w:multiLevelType w:val="hybridMultilevel"/>
    <w:tmpl w:val="4DEEFAFE"/>
    <w:lvl w:ilvl="0" w:tplc="6CE02E08">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6804F0"/>
    <w:multiLevelType w:val="hybridMultilevel"/>
    <w:tmpl w:val="5774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5700DD"/>
    <w:multiLevelType w:val="hybridMultilevel"/>
    <w:tmpl w:val="DE6A360C"/>
    <w:lvl w:ilvl="0" w:tplc="F708AC2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7E2879"/>
    <w:multiLevelType w:val="hybridMultilevel"/>
    <w:tmpl w:val="D2F4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5A751B"/>
    <w:multiLevelType w:val="hybridMultilevel"/>
    <w:tmpl w:val="44921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4918821">
    <w:abstractNumId w:val="1"/>
  </w:num>
  <w:num w:numId="2" w16cid:durableId="660888706">
    <w:abstractNumId w:val="5"/>
  </w:num>
  <w:num w:numId="3" w16cid:durableId="1811166607">
    <w:abstractNumId w:val="4"/>
  </w:num>
  <w:num w:numId="4" w16cid:durableId="178668143">
    <w:abstractNumId w:val="2"/>
  </w:num>
  <w:num w:numId="5" w16cid:durableId="1653218134">
    <w:abstractNumId w:val="3"/>
  </w:num>
  <w:num w:numId="6" w16cid:durableId="184007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F1"/>
    <w:rsid w:val="00026BFA"/>
    <w:rsid w:val="0023646C"/>
    <w:rsid w:val="00261DA6"/>
    <w:rsid w:val="002710CE"/>
    <w:rsid w:val="00324B5E"/>
    <w:rsid w:val="00330AE1"/>
    <w:rsid w:val="00376E00"/>
    <w:rsid w:val="005B1E1D"/>
    <w:rsid w:val="00621108"/>
    <w:rsid w:val="007B5F7D"/>
    <w:rsid w:val="00850516"/>
    <w:rsid w:val="00927334"/>
    <w:rsid w:val="00AA2766"/>
    <w:rsid w:val="00AA27F8"/>
    <w:rsid w:val="00B350C0"/>
    <w:rsid w:val="00B61098"/>
    <w:rsid w:val="00C051F1"/>
    <w:rsid w:val="00DA4CF7"/>
    <w:rsid w:val="00E0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93AB"/>
  <w15:chartTrackingRefBased/>
  <w15:docId w15:val="{C2629F45-43A4-4989-BF45-3E2D4E9B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1F1"/>
    <w:rPr>
      <w:rFonts w:eastAsiaTheme="majorEastAsia" w:cstheme="majorBidi"/>
      <w:color w:val="272727" w:themeColor="text1" w:themeTint="D8"/>
    </w:rPr>
  </w:style>
  <w:style w:type="paragraph" w:styleId="Title">
    <w:name w:val="Title"/>
    <w:basedOn w:val="Normal"/>
    <w:next w:val="Normal"/>
    <w:link w:val="TitleChar"/>
    <w:uiPriority w:val="10"/>
    <w:qFormat/>
    <w:rsid w:val="00C0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1F1"/>
    <w:pPr>
      <w:spacing w:before="160"/>
      <w:jc w:val="center"/>
    </w:pPr>
    <w:rPr>
      <w:i/>
      <w:iCs/>
      <w:color w:val="404040" w:themeColor="text1" w:themeTint="BF"/>
    </w:rPr>
  </w:style>
  <w:style w:type="character" w:customStyle="1" w:styleId="QuoteChar">
    <w:name w:val="Quote Char"/>
    <w:basedOn w:val="DefaultParagraphFont"/>
    <w:link w:val="Quote"/>
    <w:uiPriority w:val="29"/>
    <w:rsid w:val="00C051F1"/>
    <w:rPr>
      <w:i/>
      <w:iCs/>
      <w:color w:val="404040" w:themeColor="text1" w:themeTint="BF"/>
    </w:rPr>
  </w:style>
  <w:style w:type="paragraph" w:styleId="ListParagraph">
    <w:name w:val="List Paragraph"/>
    <w:basedOn w:val="Normal"/>
    <w:uiPriority w:val="34"/>
    <w:qFormat/>
    <w:rsid w:val="00C051F1"/>
    <w:pPr>
      <w:ind w:left="720"/>
      <w:contextualSpacing/>
    </w:pPr>
  </w:style>
  <w:style w:type="character" w:styleId="IntenseEmphasis">
    <w:name w:val="Intense Emphasis"/>
    <w:basedOn w:val="DefaultParagraphFont"/>
    <w:uiPriority w:val="21"/>
    <w:qFormat/>
    <w:rsid w:val="00C051F1"/>
    <w:rPr>
      <w:i/>
      <w:iCs/>
      <w:color w:val="2F5496" w:themeColor="accent1" w:themeShade="BF"/>
    </w:rPr>
  </w:style>
  <w:style w:type="paragraph" w:styleId="IntenseQuote">
    <w:name w:val="Intense Quote"/>
    <w:basedOn w:val="Normal"/>
    <w:next w:val="Normal"/>
    <w:link w:val="IntenseQuoteChar"/>
    <w:uiPriority w:val="30"/>
    <w:qFormat/>
    <w:rsid w:val="00C05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1F1"/>
    <w:rPr>
      <w:i/>
      <w:iCs/>
      <w:color w:val="2F5496" w:themeColor="accent1" w:themeShade="BF"/>
    </w:rPr>
  </w:style>
  <w:style w:type="character" w:styleId="IntenseReference">
    <w:name w:val="Intense Reference"/>
    <w:basedOn w:val="DefaultParagraphFont"/>
    <w:uiPriority w:val="32"/>
    <w:qFormat/>
    <w:rsid w:val="00C051F1"/>
    <w:rPr>
      <w:b/>
      <w:bCs/>
      <w:smallCaps/>
      <w:color w:val="2F5496" w:themeColor="accent1" w:themeShade="BF"/>
      <w:spacing w:val="5"/>
    </w:rPr>
  </w:style>
  <w:style w:type="table" w:styleId="TableGrid">
    <w:name w:val="Table Grid"/>
    <w:basedOn w:val="TableNormal"/>
    <w:uiPriority w:val="39"/>
    <w:rsid w:val="00236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364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B1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812CA-0906-4198-835F-3F5C1CD8F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10</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chaurasia</dc:creator>
  <cp:keywords/>
  <dc:description/>
  <cp:lastModifiedBy>shreya chaurasia</cp:lastModifiedBy>
  <cp:revision>6</cp:revision>
  <dcterms:created xsi:type="dcterms:W3CDTF">2026-06-22T14:26:00Z</dcterms:created>
  <dcterms:modified xsi:type="dcterms:W3CDTF">2026-06-24T18:12:00Z</dcterms:modified>
</cp:coreProperties>
</file>