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435B" w:rsidRPr="002A435B" w:rsidRDefault="002A435B" w:rsidP="002A435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b/>
          <w:bCs/>
          <w:color w:val="1F4E79"/>
          <w:sz w:val="36"/>
          <w:szCs w:val="36"/>
          <w:lang w:eastAsia="en-IN"/>
        </w:rPr>
        <w:t>BANK LOAN REPORT</w:t>
      </w:r>
    </w:p>
    <w:p w:rsidR="002A435B" w:rsidRPr="002A435B" w:rsidRDefault="002A435B" w:rsidP="002A435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b/>
          <w:bCs/>
          <w:color w:val="4472C4"/>
          <w:sz w:val="32"/>
          <w:szCs w:val="32"/>
          <w:lang w:eastAsia="en-IN"/>
        </w:rPr>
        <w:t>TERMINOLOGIES USED IN DATA</w:t>
      </w:r>
    </w:p>
    <w:p w:rsidR="002A435B" w:rsidRPr="002A435B" w:rsidRDefault="002A435B" w:rsidP="002A435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b/>
          <w:bCs/>
          <w:color w:val="4472C4"/>
          <w:sz w:val="28"/>
          <w:szCs w:val="28"/>
          <w:lang w:eastAsia="en-IN"/>
        </w:rPr>
        <w:t>Fields Used in Data</w:t>
      </w: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Loan ID:</w:t>
      </w: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Purpose: Loan ID is a unique identifier assigned to each loan application or loan account. It serves as a primary key for tracking and managing individual loans.</w:t>
      </w: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Use for Banks: Banks use Loan IDs to efficiently manage and track loans throughout their lifecycle. It aids in organizing loan records, monitoring repayments, and addressing customer inquiries.</w:t>
      </w:r>
    </w:p>
    <w:p w:rsidR="002A435B" w:rsidRPr="002A435B" w:rsidRDefault="002A435B" w:rsidP="002A43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Address State:</w:t>
      </w: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Purpose: Address State indicates the borrower's location. It helps in assessing regional risk factors, compliance with state regulations, and estimating default probabilities.</w:t>
      </w: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Use for Banks: Banks use this information to identify regional trends in loan demand, adjust marketing strategies, and manage risk portfolios based on geographic regions.</w:t>
      </w:r>
    </w:p>
    <w:p w:rsidR="002A435B" w:rsidRPr="002A435B" w:rsidRDefault="002A435B" w:rsidP="002A43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Employee Length:</w:t>
      </w: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Purpose: Employee Length provides insights into the borrower's employment stability. Longer employment durations may indicate greater job security.</w:t>
      </w: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Use for Banks: Banks consider employment length when assessing a borrower's ability to repay. Stable employment often translates to a lower default risk.</w:t>
      </w:r>
    </w:p>
    <w:p w:rsidR="002A435B" w:rsidRPr="002A435B" w:rsidRDefault="002A435B" w:rsidP="002A43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Employee Title:</w:t>
      </w: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Purpose: Employee Title specifies the borrower's occupation or job title. It helps lenders understand the source of the borrower's income.</w:t>
      </w: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Use for Banks: Banks use this field to verify income sources, assess the borrower's financial capacity, and tailor loan offers to different professions.</w:t>
      </w:r>
    </w:p>
    <w:p w:rsidR="002A435B" w:rsidRPr="002A435B" w:rsidRDefault="002A435B" w:rsidP="002A43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Grade:</w:t>
      </w: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Purpose: Grade represents a risk classification assigned to the loan based on creditworthiness. Higher grades signify lower risk.</w:t>
      </w: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Use for Banks: Banks use the grade to price loans and manage risk. Higher-grade loans typically receive lower interest rates and are more attractive to investors.</w:t>
      </w:r>
    </w:p>
    <w:p w:rsidR="002A435B" w:rsidRPr="002A435B" w:rsidRDefault="002A435B" w:rsidP="002A43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Sub Grade:</w:t>
      </w: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Purpose: Sub Grade refines the risk assessment within a grade, providing additional risk differentiation.</w:t>
      </w: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Use for Banks: Sub Grades offer a finer level of risk assessment, helping banks tailor interest rates and lending terms to match borrower risk profiles.</w:t>
      </w:r>
    </w:p>
    <w:p w:rsidR="002A435B" w:rsidRPr="002A435B" w:rsidRDefault="002A435B" w:rsidP="002A43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Home Ownership:</w:t>
      </w: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Purpose: Home Ownership indicates the borrower's housing status. It offers insights into financial stability.</w:t>
      </w: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Use for Banks: Banks use this field to assess collateral availability and borrower stability. Homeowners may have lower default rates.</w:t>
      </w:r>
    </w:p>
    <w:p w:rsidR="002A435B" w:rsidRPr="002A435B" w:rsidRDefault="002A435B" w:rsidP="002A43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Issue Date:</w:t>
      </w: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Purpose: Issue Date marks the loan's origination date. It's crucial for loan tracking and maturity calculations.</w:t>
      </w: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Use for Banks: Banks use Issue Dates to track loan aging, calculate interest accruals, and manage loan portfolios.</w:t>
      </w:r>
    </w:p>
    <w:p w:rsidR="002A435B" w:rsidRPr="002A435B" w:rsidRDefault="002A435B" w:rsidP="002A43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Last Credit Pull Date:</w:t>
      </w: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Purpose: Last Credit Pull Date records when the borrower's credit report was last accessed. It helps monitor creditworthiness.</w:t>
      </w: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Use for Banks: Banks use this date to track credit history updates, assess credit risk, and make informed lending decisions.</w:t>
      </w:r>
    </w:p>
    <w:p w:rsidR="002A435B" w:rsidRPr="002A435B" w:rsidRDefault="002A435B" w:rsidP="002A43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Last Payment Date:</w:t>
      </w: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Purpose: Last Payment Date marks the most recent loan payment received. It tracks the borrower's payment history.</w:t>
      </w: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Use for Banks: Banks use this date to assess payment </w:t>
      </w:r>
      <w:proofErr w:type="spellStart"/>
      <w:r w:rsidRPr="002A435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behavior</w:t>
      </w:r>
      <w:proofErr w:type="spellEnd"/>
      <w:r w:rsidRPr="002A435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, calculate delinquency, and project future payments.</w:t>
      </w: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Loan Status:</w:t>
      </w: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Purpose: Loan Status indicates the current state of the loan (e.g., fully paid, current, default). It tracks loan performance.</w:t>
      </w: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Use for Banks: Banks use Loan Status to monitor loan health, categorize loans for risk analysis, and determine provisioning requirements.</w:t>
      </w:r>
    </w:p>
    <w:p w:rsidR="002A435B" w:rsidRPr="002A435B" w:rsidRDefault="002A435B" w:rsidP="002A43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Next Payment Date:</w:t>
      </w: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Purpose: Next Payment Date estimates the date of the next loan payment. It assists in cash flow forecasting.</w:t>
      </w: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Use for Banks: Banks use this date for liquidity planning and to project revenue from loan portfolios.</w:t>
      </w:r>
    </w:p>
    <w:p w:rsidR="002A435B" w:rsidRPr="002A435B" w:rsidRDefault="002A435B" w:rsidP="002A43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Purpose:</w:t>
      </w: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Purpose: Purpose specifies the reason for the loan (e.g., debt consolidation, education). It helps understand borrower intentions.</w:t>
      </w: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Use for Banks: Banks use this field to segment and customize loan offerings, aligning loan terms with borrower needs.</w:t>
      </w:r>
    </w:p>
    <w:p w:rsidR="002A435B" w:rsidRPr="002A435B" w:rsidRDefault="002A435B" w:rsidP="002A43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Term:</w:t>
      </w: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Purpose: Term defines the duration of the loan in months. It sets the repayment period.</w:t>
      </w: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Use for Banks: Banks use the term to structure loan agreements, calculate interest payments, and manage loan maturities.</w:t>
      </w:r>
    </w:p>
    <w:p w:rsidR="002A435B" w:rsidRPr="002A435B" w:rsidRDefault="002A435B" w:rsidP="002A43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Verification Status:</w:t>
      </w: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Purpose: Verification Status indicates whether the borrower's financial information has been verified. It assesses data accuracy.</w:t>
      </w: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Use for Banks: Banks use this field to gauge data reliability, verify income, and evaluate loan application credibility.</w:t>
      </w:r>
    </w:p>
    <w:p w:rsidR="002A435B" w:rsidRPr="002A435B" w:rsidRDefault="002A435B" w:rsidP="002A43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Annual Income:</w:t>
      </w: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lastRenderedPageBreak/>
        <w:t>Purpose: Annual Income reflects the borrower's total yearly earnings. It assesses repayment capacity.</w:t>
      </w: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Use for Banks: Banks use this income figure to determine loan eligibility, calculate debt-to-income ratios, and evaluate creditworthiness.</w:t>
      </w:r>
    </w:p>
    <w:p w:rsidR="002A435B" w:rsidRPr="002A435B" w:rsidRDefault="002A435B" w:rsidP="002A43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DTI (Debt-to-Income Ratio):</w:t>
      </w: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Purpose: DTI measures the borrower's debt burden relative to income. It gauges the borrower's capacity to take on additional debt.</w:t>
      </w: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Use for Banks: Banks use DTI to assess a borrower's ability to handle loan payments and make responsible lending decisions.</w:t>
      </w:r>
    </w:p>
    <w:p w:rsidR="002A435B" w:rsidRPr="002A435B" w:rsidRDefault="002A435B" w:rsidP="002A43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Instalment:</w:t>
      </w: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Purpose: Instalment is the fixed monthly payment amount for loan repayment, including principal and interest.</w:t>
      </w: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Use for Banks: Banks use this field to structure loan terms, calculate amortization schedules, and assess payment affordability.</w:t>
      </w:r>
    </w:p>
    <w:p w:rsidR="002A435B" w:rsidRPr="002A435B" w:rsidRDefault="002A435B" w:rsidP="002A43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Interest Rate:</w:t>
      </w: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Purpose: Interest Rate represents the annual cost of borrowing expressed as a percentage. It determines the loan's cost.</w:t>
      </w: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Use for Banks: Banks use interest rates to price loans, manage profit margins, and attract investors.</w:t>
      </w:r>
    </w:p>
    <w:p w:rsidR="002A435B" w:rsidRPr="002A435B" w:rsidRDefault="002A435B" w:rsidP="002A43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Loan Amount:</w:t>
      </w: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Purpose: Loan Amount is the total borrowed sum. It defines the principal amount.</w:t>
      </w:r>
    </w:p>
    <w:p w:rsidR="002A435B" w:rsidRPr="002A435B" w:rsidRDefault="002A435B" w:rsidP="002A43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35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Use for Banks: Banks use Loan Amount to determine loan size</w:t>
      </w:r>
    </w:p>
    <w:p w:rsidR="00C305E4" w:rsidRDefault="002A435B" w:rsidP="002A435B">
      <w:r w:rsidRPr="002A43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A43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bookmarkStart w:id="0" w:name="_GoBack"/>
      <w:bookmarkEnd w:id="0"/>
    </w:p>
    <w:sectPr w:rsidR="00C305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35B"/>
    <w:rsid w:val="002A435B"/>
    <w:rsid w:val="00C30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583A6F-F5A1-4AC9-A3F2-77F911650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43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94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816</Words>
  <Characters>4653</Characters>
  <Application>Microsoft Office Word</Application>
  <DocSecurity>0</DocSecurity>
  <Lines>38</Lines>
  <Paragraphs>10</Paragraphs>
  <ScaleCrop>false</ScaleCrop>
  <Company/>
  <LinksUpToDate>false</LinksUpToDate>
  <CharactersWithSpaces>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2025-05-26T09:59:00Z</dcterms:created>
  <dcterms:modified xsi:type="dcterms:W3CDTF">2025-05-26T09:59:00Z</dcterms:modified>
</cp:coreProperties>
</file>