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SAMPLE DOCUMENT FOR TESTING AGENT NARADA - FICTIONAL, NOT AN OFFICIAL UPES DOCUMENT</w:t>
      </w:r>
    </w:p>
    <w:p>
      <w:pPr>
        <w:pStyle w:val="Title"/>
      </w:pPr>
      <w:r>
        <w:t xml:space="preserve">Scholarship Policy 2026-27</w:t>
      </w:r>
    </w:p>
    <w:p>
      <w:pPr>
        <w:pStyle w:val="Heading1"/>
      </w:pPr>
      <w:r>
        <w:t xml:space="preserve">1. Merit scholarship</w:t>
      </w:r>
    </w:p>
    <w:p>
      <w:r>
        <w:t xml:space="preserve">Students who score 90% or more in the previous semester receive a merit scholarship as a waiver on the tuition fee of the next semester.</w:t>
      </w:r>
    </w:p>
    <w:p>
      <w:r>
        <w:t xml:space="preserve">The scholarship continues only while the student keeps at least 85% in every semester and has no disciplinary case.</w:t>
      </w:r>
    </w:p>
    <w:p>
      <w:pPr>
        <w:pStyle w:val="Heading1"/>
      </w:pPr>
      <w:r>
        <w:t xml:space="preserve">2. Scholarship amounts</w:t>
      </w:r>
    </w:p>
    <w:p>
      <w:r>
        <w:t xml:space="preserve">The waiver depends on the category: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Marks or achievement needed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Tuition fee waiver</w:t>
            </w:r>
          </w:p>
        </w:tc>
      </w:tr>
      <w:tr>
        <w:tc>
          <w:tcPr>
            <w:tcW w:w="3000" w:type="dxa"/>
          </w:tcPr>
          <w:p>
            <w:r>
              <w:t xml:space="preserve">Gold</w:t>
            </w:r>
          </w:p>
        </w:tc>
        <w:tc>
          <w:tcPr>
            <w:tcW w:w="3000" w:type="dxa"/>
          </w:tcPr>
          <w:p>
            <w:r>
              <w:t xml:space="preserve">95% and above</w:t>
            </w:r>
          </w:p>
        </w:tc>
        <w:tc>
          <w:tcPr>
            <w:tcW w:w="3000" w:type="dxa"/>
          </w:tcPr>
          <w:p>
            <w:r>
              <w:t xml:space="preserve">50%</w:t>
            </w:r>
          </w:p>
        </w:tc>
      </w:tr>
      <w:tr>
        <w:tc>
          <w:tcPr>
            <w:tcW w:w="3000" w:type="dxa"/>
          </w:tcPr>
          <w:p>
            <w:r>
              <w:t xml:space="preserve">Silver</w:t>
            </w:r>
          </w:p>
        </w:tc>
        <w:tc>
          <w:tcPr>
            <w:tcW w:w="3000" w:type="dxa"/>
          </w:tcPr>
          <w:p>
            <w:r>
              <w:t xml:space="preserve">90% to 94.9%</w:t>
            </w:r>
          </w:p>
        </w:tc>
        <w:tc>
          <w:tcPr>
            <w:tcW w:w="3000" w:type="dxa"/>
          </w:tcPr>
          <w:p>
            <w:r>
              <w:t xml:space="preserve">25%</w:t>
            </w:r>
          </w:p>
        </w:tc>
      </w:tr>
      <w:tr>
        <w:tc>
          <w:tcPr>
            <w:tcW w:w="3000" w:type="dxa"/>
          </w:tcPr>
          <w:p>
            <w:r>
              <w:t xml:space="preserve">Sports</w:t>
            </w:r>
          </w:p>
        </w:tc>
        <w:tc>
          <w:tcPr>
            <w:tcW w:w="3000" w:type="dxa"/>
          </w:tcPr>
          <w:p>
            <w:r>
              <w:t xml:space="preserve">Medal at a state-level event</w:t>
            </w:r>
          </w:p>
        </w:tc>
        <w:tc>
          <w:tcPr>
            <w:tcW w:w="3000" w:type="dxa"/>
          </w:tcPr>
          <w:p>
            <w:r>
              <w:t xml:space="preserve">20%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How to apply</w:t>
      </w:r>
    </w:p>
    <w:p>
      <w:r>
        <w:t xml:space="preserve">Apply on the student portal by 31 December 2026. The list of selected students is published on 20 January 2027.</w:t>
      </w:r>
    </w:p>
    <w:p>
      <w:r>
        <w:t xml:space="preserve">Questions go to the Scholarship Cell, Block 1, Room 110, email scholarship.cell@example.edu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basedOn w:val="Normal"/>
    <w:rPr>
      <w:b/>
      <w:sz w:val="40"/>
      <w:color w:val="107FCE"/>
    </w:rPr>
  </w:style>
  <w:style w:type="paragraph" w:styleId="Heading1">
    <w:name w:val="heading 1"/>
    <w:basedOn w:val="Normal"/>
    <w:pPr>
      <w:spacing w:before="240" w:after="80"/>
      <w:outlineLvl w:val="0"/>
    </w:pPr>
    <w:rPr>
      <w:b/>
      <w:sz w:val="28"/>
      <w:color w:val="0B1F5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