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tbl>
      <w:tblPr>
        <w:tblW w:w="10000" w:type="dxa"/>
        <w:tblBorders>
          <w:top w:val="single" w:sz="12" w:color="000000"/>
          <w:left w:val="single" w:sz="12" w:color="000000"/>
          <w:bottom w:val="single" w:sz="12" w:color="000000"/>
          <w:right w:val="single" w:sz="12" w:color="000000"/>
          <w:insideH w:val="none" w:sz="0" w:color="FFFFFF"/>
          <w:insideV w:val="none" w:sz="0" w:color="FFFFFF"/>
        </w:tblBorders>
        <w:tblLayout w:type="fixed"/>
      </w:tblPr>
      <w:tblGrid>
        <w:gridCol w:w="10000"/>
      </w:tblGrid>
      <w:tr>
        <w:tc>
          <w:tcPr>
            <w:tcW w:w="10000" w:type="dxa"/>
            <w:tcMar>
              <w:top w:w="60" w:type="dxa"/>
              <w:left w:w="100" w:type="dxa"/>
              <w:bottom w:w="60" w:type="dxa"/>
              <w:right w:w="100" w:type="dxa"/>
            </w:tcMar>
            <w:gridSpan w:val="1"/>
          </w:tcPr>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single"/>
              </w:rPr>
              <w:t xml:space="preserve">Department of Artificial Intelligence &amp; Machine Learning</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Program name :- Artificial Intelligence &amp; Machine Learning        Class: S.Y. B. Tech   Div:- A</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Name of Student: Shreya Amol Kasbe     Batch:- A2</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   Course Name:- Digital Finance </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PRN No :- 251012042   Roll No:- 32142     Sem :- 3rd   Course :- BFSI ( Online )</w:t>
            </w:r>
          </w:p>
        </w:tc>
      </w:tr>
    </w:tbl>
    <w:p>
      <w:pPr>
        <w:spacing w:before="300" w:after="200"/>
      </w:pPr>
    </w:p>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5000"/>
        <w:gridCol w:w="5000"/>
      </w:tblGrid>
      <w:tr>
        <w:tc>
          <w:tcPr>
            <w:tcW w:w="5000" w:type="dxa"/>
            <w:tcBorders>
              <w:top w:val="none" w:sz="0" w:color="FFFFFF"/>
              <w:left w:val="none" w:sz="0" w:color="FFFFFF"/>
              <w:bottom w:val="none" w:sz="0" w:color="FFFFFF"/>
              <w:right w:val="none" w:sz="0" w:color="FFFFFF"/>
            </w:tcBorders>
          </w:tcPr>
          <w:p>
            <w:r>
              <w:rPr>
                <w:rFonts w:ascii="Times New Roman"/>
                <w:b w:val="0"/>
                <w:i w:val="0"/>
                <w:strike w:val="0"/>
                <w:dstrike w:val="0"/>
                <w:emboss w:val="0"/>
                <w:imprint w:val="0"/>
                <w:outline w:val="0"/>
                <w:shadow w:val="0"/>
                <w:sz w:val="20"/>
                <w:szCs w:val="20"/>
                <w:u w:val="none"/>
              </w:rPr>
              <w:drawing>
                <wp:inline>
                  <wp:extent cx="1171575" cy="752479"/>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71575" cy="752475"/>
                          </a:xfrm>
                          <a:prstGeom prst="rect">
                            <a:avLst/>
                          </a:prstGeom>
                        </pic:spPr>
                      </pic:pic>
                    </a:graphicData>
                  </a:graphic>
                </wp:inline>
              </w:drawing>
            </w:r>
          </w:p>
        </w:tc>
        <w:tc>
          <w:tcPr>
            <w:tcW w:w="5000" w:type="dxa"/>
            <w:tcBorders>
              <w:top w:val="none" w:sz="0" w:color="FFFFFF"/>
              <w:left w:val="none" w:sz="0" w:color="FFFFFF"/>
              <w:bottom w:val="none" w:sz="0" w:color="FFFFFF"/>
              <w:right w:val="none" w:sz="0" w:color="FFFFFF"/>
            </w:tcBorders>
          </w:tcPr>
          <w:p>
            <w:pPr>
              <w:jc w:val="right"/>
            </w:pPr>
            <w:r>
              <w:rPr>
                <w:rFonts w:ascii="Times New Roman"/>
                <w:b w:val="0"/>
                <w:i w:val="0"/>
                <w:strike w:val="0"/>
                <w:dstrike w:val="0"/>
                <w:emboss w:val="0"/>
                <w:imprint w:val="0"/>
                <w:outline w:val="0"/>
                <w:shadow w:val="0"/>
                <w:sz w:val="20"/>
                <w:szCs w:val="20"/>
                <w:u w:val="none"/>
              </w:rPr>
              <w:drawing>
                <wp:inline>
                  <wp:extent cx="1371600" cy="67627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676275"/>
                          </a:xfrm>
                          <a:prstGeom prst="rect">
                            <a:avLst/>
                          </a:prstGeom>
                        </pic:spPr>
                      </pic:pic>
                    </a:graphicData>
                  </a:graphic>
                </wp:inline>
              </w:drawing>
            </w:r>
          </w:p>
        </w:tc>
      </w:tr>
    </w:tbl>
    <w:p>
      <w:pPr>
        <w:spacing w:before="160" w:after="300"/>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SMARTBRIDGE</w:t>
      </w:r>
      <w:r>
        <w:rPr>
          <w:rFonts w:hAnsi="Times New Roman" w:ascii="Times New Roman" w:eastAsia="Times New Roman" w:cs="Times New Roman"/>
          <w:b w:val="0"/>
          <w:i w:val="0"/>
          <w:strike w:val="0"/>
          <w:dstrike w:val="0"/>
          <w:emboss w:val="0"/>
          <w:imprint w:val="0"/>
          <w:outline w:val="0"/>
          <w:shadow w:val="0"/>
          <w:sz w:val="22"/>
          <w:szCs w:val="22"/>
          <w:u w:val="none"/>
        </w:rPr>
        <w:t xml:space="preserve">    |    </w:t>
      </w:r>
      <w:r>
        <w:rPr>
          <w:rFonts w:hAnsi="Times New Roman" w:ascii="Times New Roman" w:eastAsia="Times New Roman" w:cs="Times New Roman"/>
          <w:b/>
          <w:bCs/>
          <w:i w:val="0"/>
          <w:strike w:val="0"/>
          <w:dstrike w:val="0"/>
          <w:emboss w:val="0"/>
          <w:imprint w:val="0"/>
          <w:outline w:val="0"/>
          <w:shadow w:val="0"/>
          <w:sz w:val="22"/>
          <w:szCs w:val="22"/>
          <w:u w:val="none"/>
        </w:rPr>
        <w:t xml:space="preserve">SKILLWALLET</w:t>
      </w:r>
    </w:p>
    <w:p>
      <w:pPr>
        <w:spacing w:after="300"/>
        <w:jc w:val="center"/>
      </w:pPr>
      <w:r>
        <w:rPr>
          <w:rFonts w:hAnsi="Times New Roman" w:ascii="Times New Roman" w:eastAsia="Times New Roman" w:cs="Times New Roman"/>
          <w:b/>
          <w:bCs/>
          <w:i w:val="0"/>
          <w:strike w:val="0"/>
          <w:dstrike w:val="0"/>
          <w:emboss w:val="0"/>
          <w:imprint w:val="0"/>
          <w:outline w:val="0"/>
          <w:shadow w:val="0"/>
          <w:sz w:val="32"/>
          <w:szCs w:val="32"/>
          <w:u w:val="none"/>
        </w:rPr>
        <w:t xml:space="preserve">Personal Finance Advisor Bot</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Project Description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Personal Finance Advisor Bot is a web-based personal finance dashboard developed using Flask and SQLAlchemy. It helps users manage their money by providing secure account access, income and expense tracking, category-wise spending analysis, savings calculation, and rule-based financial recommendations through a responsive dashboard.</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The application allows users to register and log in securely, record monthly income and daily expenses, and review a summary of their financial activity. Passwords are hashed using Werkzeug, while financial records are managed through SQLAlchemy. The advisor uses rule-based logic to provide practical, AI-style recommendations based on a user's financial information.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The project supports SQLite for local development and PostgreSQL for deployment on Render. A JSON summary API makes financial summary data available in a structured format. The repository includes deployment configuration and environment-variable guidance to help run the application locally or publish it online without committing sensitive credentials.</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Technology &amp; AI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Frontend: HTML, CSS and responsive dashboard templates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Backend: Python with Flask</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Database / ORM: SQLAlchemy with SQLite locally and PostgreSQL on Render</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Authentication &amp; Security: User registration, login and Werkzeug password hashing</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Financial Logic: Income-expense summaries, savings calculations and rule-based recommendations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Deployment: Render using render.yaml; Procfile included</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Key Features :-</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User registration and login for personal accounts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Secure password storage using Werkzeug password hashing</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Monthly income tracking and daily expense recording by category</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Income-versus-expense summary and savings calculation</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Category-wise spending analysis to help users understand spending patterns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Rule-based AI-style financial advisor offering personalized recommendations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JSON summary API for structured financial summary data</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Responsive dashboard with SQLite local support and PostgreSQL deployment configuration</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Scenarios :-</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1: A new user opens the application, creates an account with an email and password, and is logged in. On later visits, the user can sign in with the same credentials to access their own finance dashboard.</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2: A user records monthly income and enters daily expenses under suitable categories. The application organizes the records so the user can review spending and understand how money is being used.</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3: A user checks the income-versus-expense summary and savings calculation to understand the amount remaining after expenses. Category-wise analysis helps identify areas where spending may be reduced.</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4: Using the user's financial summary, the rule-based financial advisor generates practical recommendations. The JSON summary API can also provide financial summary information in a structured response.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Milestones :-</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1 – Project Planning &amp; Application Structure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Define the objective of the Personal Finance Advisor Bot, identify the core finance-tracking features, and plan the Flask application structure and dashboard workflow.</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2 – User Authentication &amp; Database Integration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Implement registration and login, password hashing with Werkzeug, and SQLAlchemy models with SQLite support for local development.</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3 – Income, Expense &amp; Savings Modules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Build income and expense entry, category-wise records, income-versus-expense summaries, and savings calculations.</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4 – Financial Analysis &amp; Advisor</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Add category-wise spending analysis, rule-based AI-style financial recommendations, and a JSON endpoint for summary information.</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5 – Testing, Configuration &amp; Deployment</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Verify the main user flows, configure PostgreSQL for hosted deployment, and prepare Render deployment using render.yaml and the included Procfile.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Conclusion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The Personal Finance Advisor Bot brings everyday money-management tasks into one responsive dashboard. By combining secure login, income and expense tracking, category-based analysis, savings calculations, and rule-based financial recommendations, it helps users better understand their personal finances. The project demonstrates how Python web development and database tools can be used to make personal financial tracking more organized and accessible.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Expected Outcome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The expected outcome is a usable personal finance dashboard where users can maintain income and expense records, review spending categories, calculate savings, and receive rule-based financial guidance. With local SQLite support and a Render deployment configuration for PostgreSQL, the application is designed to support both local use and hosted deployment.</w:t>
      </w:r>
    </w:p>
    <w:sectPr>
      <w:headerReference w:type="default" r:id="rId7"/>
      <w:pgSz w:w="12240" w:h="15840"/>
      <w:pgMar w:top="1300" w:right="1100" w:bottom="1000" w:left="1100" w:header="708" w:footer="708"/>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700"/>
      <w:gridCol w:w="6600"/>
      <w:gridCol w:w="1700"/>
    </w:tblGrid>
    <w:tr>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942975" cy="110489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42975" cy="1104900"/>
                        </a:xfrm>
                        <a:prstGeom prst="rect">
                          <a:avLst/>
                        </a:prstGeom>
                      </pic:spPr>
                    </pic:pic>
                  </a:graphicData>
                </a:graphic>
              </wp:inline>
            </w:drawing>
          </w:r>
        </w:p>
      </w:tc>
      <w:tc>
        <w:tcPr>
          <w:tcW w:w="6600" w:type="dxa"/>
          <w:tcBorders>
            <w:top w:val="none" w:sz="0" w:color="FFFFFF"/>
            <w:left w:val="none" w:sz="0" w:color="FFFFFF"/>
            <w:bottom w:val="none" w:sz="0" w:color="FFFFFF"/>
            <w:right w:val="none" w:sz="0" w:color="FFFFFF"/>
          </w:tcBorders>
          <w:vAlign w:val="center"/>
        </w:tcPr>
        <w:p>
          <w:pPr>
            <w:jc w:val="center"/>
          </w:pPr>
          <w:r>
            <w:rPr>
              <w:rFonts w:hAnsi="Times New Roman" w:ascii="Times New Roman" w:eastAsia="Times New Roman" w:cs="Times New Roman"/>
              <w:b/>
              <w:bCs/>
              <w:i/>
              <w:iCs/>
              <w:strike w:val="0"/>
              <w:dstrike w:val="0"/>
              <w:emboss w:val="0"/>
              <w:imprint w:val="0"/>
              <w:outline w:val="0"/>
              <w:shadow w:val="0"/>
              <w:sz w:val="22"/>
              <w:szCs w:val="22"/>
              <w:u w:val="none"/>
            </w:rPr>
            <w:t xml:space="preserve">Dr. D. Y. Patil Educational Federation's</w:t>
          </w:r>
        </w:p>
        <w:p>
          <w:pPr>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Dr. D. Y. Patil College of Engineering &amp; Innovation</w:t>
          </w:r>
        </w:p>
        <w:p>
          <w:pPr>
            <w:jc w:val="center"/>
          </w:pPr>
          <w:r>
            <w:rPr>
              <w:rFonts w:hAnsi="Times New Roman" w:ascii="Times New Roman" w:eastAsia="Times New Roman" w:cs="Times New Roman"/>
              <w:b w:val="0"/>
              <w:i w:val="0"/>
              <w:strike w:val="0"/>
              <w:dstrike w:val="0"/>
              <w:emboss w:val="0"/>
              <w:imprint w:val="0"/>
              <w:outline w:val="0"/>
              <w:shadow w:val="0"/>
              <w:sz w:val="18"/>
              <w:szCs w:val="18"/>
              <w:u w:val="none"/>
            </w:rPr>
            <w:t xml:space="preserve">Approved by AICTE, Recognized by Govt. of Maharashtra,</w:t>
          </w:r>
        </w:p>
        <w:p>
          <w:pPr>
            <w:jc w:val="center"/>
          </w:pPr>
          <w:r>
            <w:rPr>
              <w:color w:val="C00000"/>
              <w:rFonts w:hAnsi="Times New Roman" w:ascii="Times New Roman" w:eastAsia="Times New Roman" w:cs="Times New Roman"/>
              <w:b/>
              <w:bCs/>
              <w:i w:val="0"/>
              <w:strike w:val="0"/>
              <w:dstrike w:val="0"/>
              <w:emboss w:val="0"/>
              <w:imprint w:val="0"/>
              <w:outline w:val="0"/>
              <w:shadow w:val="0"/>
              <w:sz w:val="18"/>
              <w:szCs w:val="18"/>
              <w:u w:val="none"/>
            </w:rPr>
            <w:t xml:space="preserve">(An Autonomous Institute Affiliated to Savitribai Phule Pune University)</w:t>
          </w:r>
        </w:p>
        <w:p>
          <w:pPr>
            <w:jc w:val="center"/>
          </w:pPr>
          <w:r>
            <w:rPr>
              <w:color w:val="1F3864"/>
              <w:rFonts w:hAnsi="Times New Roman" w:ascii="Times New Roman" w:eastAsia="Times New Roman" w:cs="Times New Roman"/>
              <w:b/>
              <w:bCs/>
              <w:i w:val="0"/>
              <w:strike w:val="0"/>
              <w:dstrike w:val="0"/>
              <w:emboss w:val="0"/>
              <w:imprint w:val="0"/>
              <w:outline w:val="0"/>
              <w:shadow w:val="0"/>
              <w:sz w:val="18"/>
              <w:szCs w:val="18"/>
              <w:u w:val="none"/>
            </w:rPr>
            <w:t xml:space="preserve">Accredited by NAAC with "A" Grade</w:t>
          </w:r>
        </w:p>
      </w:tc>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1028700" cy="9429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ntTable" Target="fontTable.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85d0ca8ae28d56bf6a2281271c2cd4ba7fde1c6.jpg"/><Relationship Id="rId9" Type="http://schemas.openxmlformats.org/officeDocument/2006/relationships/image" Target="media/ad33b938bc8159892d8bd300422800fbc4c33333.png"/></Relationships>
</file>

<file path=word/_rels/header1.xml.rels><?xml version="1.0" encoding="UTF-8" standalone="yes"?>
<Relationships xmlns="http://schemas.openxmlformats.org/package/2006/relationships"><Relationship Id="rId0" Type="http://schemas.openxmlformats.org/officeDocument/2006/relationships/image" Target="media/6f378370472c512983e08d48f1cd9b2bb842280f.jpg"/><Relationship Id="rId1" Type="http://schemas.openxmlformats.org/officeDocument/2006/relationships/image" Target="media/42b84bfe45e82533224fa1fe44190fa6022a51f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Amol Kasbe</dc:creator>
  <cp:lastModifiedBy>Un-named</cp:lastModifiedBy>
  <cp:revision>1</cp:revision>
  <dcterms:created xsi:type="dcterms:W3CDTF">2026-09-27T07:47:20.471Z</dcterms:created>
  <dcterms:modified xsi:type="dcterms:W3CDTF">2026-09-27T07:47:20.472Z</dcterms:modified>
  <dc:title>Personal Finance Advisor Bot Documentation</dc:title>
  <dc:subject>Project documentation</dc:subject>
</cp:coreProperties>
</file>

<file path=docProps/custom.xml><?xml version="1.0" encoding="utf-8"?>
<Properties xmlns="http://schemas.openxmlformats.org/officeDocument/2006/custom-properties" xmlns:vt="http://schemas.openxmlformats.org/officeDocument/2006/docPropsVTypes"/>
</file>