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D1D1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6"/>
        <w:gridCol w:w="1028"/>
        <w:gridCol w:w="1028"/>
        <w:gridCol w:w="1028"/>
        <w:gridCol w:w="1028"/>
        <w:gridCol w:w="1028"/>
        <w:gridCol w:w="440"/>
      </w:tblGrid>
      <w:tr w:rsidR="00C207AC" w:rsidRPr="00C207AC" w14:paraId="1953A4B8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2D19836" w14:textId="77777777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CASH FLOW OF BRITANNIA INDUSTRIES </w:t>
            </w:r>
            <w:r w:rsidRPr="00C207A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en-IN"/>
              </w:rPr>
              <w:t>(in Rs. Cr.)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DC91E23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MAR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79632B5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MAR 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8240552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MAR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8ED0424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MAR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7C49B64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MAR 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3C8A1BA7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05B2924C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38E2F286" w14:textId="77777777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57EC3B0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12 mths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B261BF2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12 mths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00AC0B3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12 mths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78F45D4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12 mths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E76B5B3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12 mths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B256C25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7CEB6B23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EA332B2" w14:textId="77777777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NET PROFIT/LOSS BEFORE EXTRAORDINARY ITEMS AND 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5DC9C46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2,379.44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3B63F974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1,908.26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565B0AF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1,716.11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937DF60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1,445.20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F812962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1,251.16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91D87B0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4A8E360C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6E7A15D3" w14:textId="5A31629A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Net </w:t>
            </w: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Cashflow</w:t>
            </w: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from</w:t>
            </w: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Operating Activities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CA42015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1,778.27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F6FBD24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1,659.68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CB7DD0E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1,113.65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4A826CB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1,182.58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1E5293D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401.94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F6BEDCA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6464DB49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CBC5821" w14:textId="174B6458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Net Cash Used </w:t>
            </w: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in</w:t>
            </w: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Investing Activities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08DC7CC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500.64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A36C6D6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-1,568.34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276BE9B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-831.10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07B295B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-822.78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FEE7B60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-115.49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AFFDA42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57191143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C3D5A09" w14:textId="459BFBFC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Net Cash Used </w:t>
            </w: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from</w:t>
            </w: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Financing Activities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8B3CEEE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-2,222.84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5165B21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-94.25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5B2AC3A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-326.26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285D922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-304.27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63E79955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-283.80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6F2439F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19807E13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7B823C2" w14:textId="77777777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Foreign Exchange Gains / Losses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6E40C34F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5919506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D0EF399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1A42E6A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2957FD5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C55FABA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73D28459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17163D5" w14:textId="77777777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Adjustments On Amalgamation Merger Demerger Others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60FE6C7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B1538A2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82A7E9D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614805C1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311AA36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77BB9F13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322A8867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6E2C52A0" w14:textId="77777777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NET INC/DEC IN CASH AND CASH EQUIVALENTS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356AAD8D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56.07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890C394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-2.91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4ABD7F0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-43.71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F87DD7E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55.53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6A48F34D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2.65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6F8FB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BAACA96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5CD9E5D0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4BF9BD4" w14:textId="77777777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Cash And Cash Equivalents Begin of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65C9E7A2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DC826F8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28BA7E6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66.84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2B4F80C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11.31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39CC7DE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8.66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30AC4B84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  <w:tr w:rsidR="00C207AC" w:rsidRPr="00C207AC" w14:paraId="449F908C" w14:textId="77777777" w:rsidTr="00C207AC">
        <w:tc>
          <w:tcPr>
            <w:tcW w:w="6000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E5234C1" w14:textId="77777777" w:rsidR="00C207AC" w:rsidRPr="00C207AC" w:rsidRDefault="00C207AC" w:rsidP="00C207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Cash And Cash Equivalents End </w:t>
            </w:r>
            <w:proofErr w:type="gramStart"/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Of</w:t>
            </w:r>
            <w:proofErr w:type="gramEnd"/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22BEA1F0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76.29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6573527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5A9EDF26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1BE3A7AC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66.84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07A4366C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11.31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180" w:type="dxa"/>
              <w:left w:w="105" w:type="dxa"/>
              <w:bottom w:w="180" w:type="dxa"/>
              <w:right w:w="105" w:type="dxa"/>
            </w:tcMar>
            <w:hideMark/>
          </w:tcPr>
          <w:p w14:paraId="41C884E8" w14:textId="77777777" w:rsidR="00C207AC" w:rsidRPr="00C207AC" w:rsidRDefault="00C207AC" w:rsidP="00C207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207A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</w:tr>
    </w:tbl>
    <w:p w14:paraId="387923A6" w14:textId="688BA1F9" w:rsidR="00C207AC" w:rsidRPr="00C207AC" w:rsidRDefault="00C207AC" w:rsidP="00C207AC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869A1"/>
          <w:sz w:val="21"/>
          <w:szCs w:val="21"/>
          <w:lang w:eastAsia="en-IN"/>
        </w:rPr>
      </w:pPr>
    </w:p>
    <w:p w14:paraId="3B7664DF" w14:textId="77777777" w:rsidR="00386B13" w:rsidRDefault="00386B13"/>
    <w:sectPr w:rsidR="0038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AC"/>
    <w:rsid w:val="00386B13"/>
    <w:rsid w:val="00C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FF7A"/>
  <w15:chartTrackingRefBased/>
  <w15:docId w15:val="{ACDD3BED-9267-4795-8B2B-81E37AA1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n">
    <w:name w:val="ttn"/>
    <w:basedOn w:val="DefaultParagraphFont"/>
    <w:rsid w:val="00C2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2022-04-12T17:41:00Z</dcterms:created>
  <dcterms:modified xsi:type="dcterms:W3CDTF">2022-04-12T17:44:00Z</dcterms:modified>
</cp:coreProperties>
</file>